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EC" w:rsidRPr="002A748E" w:rsidRDefault="000E5AEC" w:rsidP="000E5AEC">
      <w:pPr>
        <w:pStyle w:val="Header"/>
        <w:rPr>
          <w:color w:val="1F497D" w:themeColor="text2"/>
          <w:sz w:val="32"/>
          <w:szCs w:val="32"/>
        </w:rPr>
      </w:pPr>
      <w:r w:rsidRPr="002A748E">
        <w:rPr>
          <w:color w:val="1F497D" w:themeColor="text2"/>
          <w:sz w:val="32"/>
          <w:szCs w:val="32"/>
        </w:rPr>
        <w:t xml:space="preserve">Active BMGF </w:t>
      </w:r>
      <w:r w:rsidR="002B1D91">
        <w:rPr>
          <w:color w:val="1F497D" w:themeColor="text2"/>
          <w:sz w:val="32"/>
          <w:szCs w:val="32"/>
        </w:rPr>
        <w:t xml:space="preserve">Mycotoxin </w:t>
      </w:r>
      <w:r w:rsidRPr="002A748E">
        <w:rPr>
          <w:color w:val="1F497D" w:themeColor="text2"/>
          <w:sz w:val="32"/>
          <w:szCs w:val="32"/>
        </w:rPr>
        <w:t xml:space="preserve">Grants </w:t>
      </w:r>
    </w:p>
    <w:p w:rsidR="000E5AEC" w:rsidRPr="000E5AEC" w:rsidRDefault="003A03E2" w:rsidP="000E5AEC">
      <w:pPr>
        <w:pStyle w:val="Header"/>
        <w:rPr>
          <w:color w:val="1F497D" w:themeColor="text2"/>
        </w:rPr>
      </w:pPr>
      <w:r>
        <w:rPr>
          <w:color w:val="1F497D" w:themeColor="text2"/>
        </w:rPr>
        <w:t>As of November</w:t>
      </w:r>
      <w:r w:rsidR="007E2E7C">
        <w:rPr>
          <w:color w:val="1F497D" w:themeColor="text2"/>
        </w:rPr>
        <w:t xml:space="preserve"> 2016</w:t>
      </w:r>
    </w:p>
    <w:p w:rsidR="00EF6ACB" w:rsidRDefault="00EF6ACB" w:rsidP="00EF6ACB">
      <w:pPr>
        <w:ind w:firstLine="720"/>
        <w:jc w:val="center"/>
        <w:rPr>
          <w:color w:val="1F497D"/>
          <w:sz w:val="20"/>
          <w:szCs w:val="20"/>
        </w:rPr>
      </w:pPr>
    </w:p>
    <w:p w:rsidR="00EF6ACB" w:rsidRDefault="00EF6ACB" w:rsidP="008030B7">
      <w:pPr>
        <w:ind w:firstLine="720"/>
        <w:rPr>
          <w:color w:val="1F497D"/>
          <w:sz w:val="20"/>
          <w:szCs w:val="20"/>
        </w:rPr>
      </w:pPr>
    </w:p>
    <w:p w:rsidR="00712C60" w:rsidRPr="000E5AEC" w:rsidRDefault="00712C60" w:rsidP="00712C60">
      <w:pPr>
        <w:pStyle w:val="ListParagraph"/>
        <w:ind w:left="5040" w:firstLine="720"/>
        <w:rPr>
          <w:b/>
          <w:color w:val="1F497D"/>
          <w:sz w:val="28"/>
          <w:szCs w:val="28"/>
        </w:rPr>
      </w:pPr>
      <w:r>
        <w:rPr>
          <w:b/>
          <w:color w:val="1F497D"/>
          <w:sz w:val="28"/>
          <w:szCs w:val="28"/>
        </w:rPr>
        <w:t>Control Grants</w:t>
      </w:r>
    </w:p>
    <w:p w:rsidR="00712C60" w:rsidRDefault="00712C60" w:rsidP="00712C60">
      <w:pPr>
        <w:pStyle w:val="ListParagraph"/>
        <w:rPr>
          <w:color w:val="1F497D"/>
          <w:sz w:val="20"/>
          <w:szCs w:val="20"/>
        </w:rPr>
      </w:pPr>
    </w:p>
    <w:tbl>
      <w:tblPr>
        <w:tblStyle w:val="LightGrid-Accent1"/>
        <w:tblW w:w="15300" w:type="dxa"/>
        <w:tblInd w:w="-1062" w:type="dxa"/>
        <w:tblLayout w:type="fixed"/>
        <w:tblLook w:val="04A0" w:firstRow="1" w:lastRow="0" w:firstColumn="1" w:lastColumn="0" w:noHBand="0" w:noVBand="1"/>
      </w:tblPr>
      <w:tblGrid>
        <w:gridCol w:w="450"/>
        <w:gridCol w:w="1530"/>
        <w:gridCol w:w="1800"/>
        <w:gridCol w:w="1890"/>
        <w:gridCol w:w="1350"/>
        <w:gridCol w:w="1492"/>
        <w:gridCol w:w="3027"/>
        <w:gridCol w:w="1241"/>
        <w:gridCol w:w="1350"/>
        <w:gridCol w:w="1170"/>
      </w:tblGrid>
      <w:tr w:rsidR="00712C60" w:rsidRPr="004F03AF" w:rsidTr="00914E1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 w:type="dxa"/>
          </w:tcPr>
          <w:p w:rsidR="00712C60" w:rsidRPr="00EF6ACB" w:rsidRDefault="00712C60" w:rsidP="00914E1B">
            <w:pPr>
              <w:jc w:val="center"/>
              <w:rPr>
                <w:rFonts w:asciiTheme="minorHAnsi" w:hAnsiTheme="minorHAnsi" w:cstheme="minorHAnsi"/>
                <w:b w:val="0"/>
                <w:color w:val="1F497D" w:themeColor="text2"/>
                <w:kern w:val="24"/>
                <w:sz w:val="20"/>
                <w:szCs w:val="20"/>
              </w:rPr>
            </w:pPr>
          </w:p>
        </w:tc>
        <w:tc>
          <w:tcPr>
            <w:tcW w:w="1530" w:type="dxa"/>
            <w:hideMark/>
          </w:tcPr>
          <w:p w:rsidR="00712C60" w:rsidRPr="00EF6ACB" w:rsidRDefault="0043103E" w:rsidP="00914E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1F497D" w:themeColor="text2"/>
                <w:sz w:val="20"/>
                <w:szCs w:val="20"/>
              </w:rPr>
            </w:pPr>
            <w:r>
              <w:rPr>
                <w:rFonts w:asciiTheme="minorHAnsi" w:hAnsiTheme="minorHAnsi" w:cstheme="minorHAnsi"/>
                <w:color w:val="1F497D" w:themeColor="text2"/>
                <w:kern w:val="24"/>
                <w:sz w:val="20"/>
                <w:szCs w:val="20"/>
              </w:rPr>
              <w:t xml:space="preserve">Funding </w:t>
            </w:r>
            <w:r w:rsidR="00712C60" w:rsidRPr="00EF6ACB">
              <w:rPr>
                <w:rFonts w:asciiTheme="minorHAnsi" w:hAnsiTheme="minorHAnsi" w:cstheme="minorHAnsi"/>
                <w:color w:val="1F497D" w:themeColor="text2"/>
                <w:kern w:val="24"/>
                <w:sz w:val="20"/>
                <w:szCs w:val="20"/>
              </w:rPr>
              <w:t xml:space="preserve">Team  </w:t>
            </w:r>
          </w:p>
        </w:tc>
        <w:tc>
          <w:tcPr>
            <w:tcW w:w="1800" w:type="dxa"/>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Amount</w:t>
            </w:r>
          </w:p>
        </w:tc>
        <w:tc>
          <w:tcPr>
            <w:tcW w:w="1890" w:type="dxa"/>
            <w:hideMark/>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Title</w:t>
            </w:r>
          </w:p>
        </w:tc>
        <w:tc>
          <w:tcPr>
            <w:tcW w:w="1350" w:type="dxa"/>
            <w:hideMark/>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PO</w:t>
            </w:r>
          </w:p>
        </w:tc>
        <w:tc>
          <w:tcPr>
            <w:tcW w:w="1492" w:type="dxa"/>
            <w:hideMark/>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Grantee</w:t>
            </w:r>
          </w:p>
        </w:tc>
        <w:tc>
          <w:tcPr>
            <w:tcW w:w="3027" w:type="dxa"/>
            <w:hideMark/>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Description</w:t>
            </w:r>
          </w:p>
        </w:tc>
        <w:tc>
          <w:tcPr>
            <w:tcW w:w="1241" w:type="dxa"/>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Geography</w:t>
            </w:r>
          </w:p>
        </w:tc>
        <w:tc>
          <w:tcPr>
            <w:tcW w:w="1350" w:type="dxa"/>
            <w:hideMark/>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Duration</w:t>
            </w:r>
          </w:p>
        </w:tc>
        <w:tc>
          <w:tcPr>
            <w:tcW w:w="1170" w:type="dxa"/>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color w:val="1F497D" w:themeColor="text2"/>
                <w:sz w:val="20"/>
                <w:szCs w:val="20"/>
              </w:rPr>
            </w:pPr>
            <w:r w:rsidRPr="00EF6ACB">
              <w:rPr>
                <w:color w:val="1F497D" w:themeColor="text2"/>
                <w:sz w:val="20"/>
                <w:szCs w:val="20"/>
              </w:rPr>
              <w:t>Type</w:t>
            </w:r>
          </w:p>
        </w:tc>
      </w:tr>
      <w:tr w:rsidR="008A7A1C" w:rsidRPr="004F03AF" w:rsidTr="00914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8A7A1C" w:rsidRPr="00EF6ACB" w:rsidRDefault="008A7A1C" w:rsidP="00914E1B">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1</w:t>
            </w:r>
          </w:p>
        </w:tc>
        <w:tc>
          <w:tcPr>
            <w:tcW w:w="1530" w:type="dxa"/>
          </w:tcPr>
          <w:p w:rsidR="008A7A1C" w:rsidRPr="00EF6ACB" w:rsidRDefault="008A7A1C"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Agriculture</w:t>
            </w:r>
            <w:r w:rsidR="003A03E2">
              <w:rPr>
                <w:rFonts w:asciiTheme="minorHAnsi" w:hAnsiTheme="minorHAnsi" w:cstheme="minorHAnsi"/>
                <w:color w:val="1F497D" w:themeColor="text2"/>
                <w:sz w:val="20"/>
                <w:szCs w:val="20"/>
              </w:rPr>
              <w:t xml:space="preserve"> and Nutrition</w:t>
            </w:r>
          </w:p>
          <w:p w:rsidR="008A7A1C" w:rsidRDefault="003A03E2"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OPP1152561</w:t>
            </w:r>
          </w:p>
          <w:p w:rsidR="004010C7" w:rsidRDefault="004010C7"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p w:rsidR="004010C7" w:rsidRPr="00EF6ACB" w:rsidRDefault="004010C7"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tc>
        <w:tc>
          <w:tcPr>
            <w:tcW w:w="1800" w:type="dxa"/>
          </w:tcPr>
          <w:p w:rsidR="008A7A1C" w:rsidRPr="00EF6ACB" w:rsidRDefault="003A03E2"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$4,000,000</w:t>
            </w:r>
          </w:p>
        </w:tc>
        <w:tc>
          <w:tcPr>
            <w:tcW w:w="1890" w:type="dxa"/>
          </w:tcPr>
          <w:p w:rsidR="008A7A1C" w:rsidRPr="00EF6ACB" w:rsidRDefault="008A7A1C" w:rsidP="00925459">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Partnership for Aflatoxin Control in Africa (PACA)</w:t>
            </w:r>
            <w:r w:rsidR="0043103E">
              <w:rPr>
                <w:rFonts w:asciiTheme="minorHAnsi" w:hAnsiTheme="minorHAnsi" w:cstheme="minorHAnsi"/>
                <w:color w:val="1F497D" w:themeColor="text2"/>
                <w:sz w:val="20"/>
                <w:szCs w:val="20"/>
              </w:rPr>
              <w:t xml:space="preserve"> II</w:t>
            </w:r>
          </w:p>
          <w:p w:rsidR="008A7A1C" w:rsidRPr="00EF6ACB" w:rsidRDefault="008A7A1C"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tc>
        <w:tc>
          <w:tcPr>
            <w:tcW w:w="1350" w:type="dxa"/>
          </w:tcPr>
          <w:p w:rsidR="003A03E2" w:rsidRDefault="008A7A1C"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Orin Hasson</w:t>
            </w:r>
            <w:r w:rsidR="003A03E2">
              <w:rPr>
                <w:rFonts w:asciiTheme="minorHAnsi" w:hAnsiTheme="minorHAnsi" w:cstheme="minorHAnsi"/>
                <w:color w:val="1F497D" w:themeColor="text2"/>
                <w:sz w:val="20"/>
                <w:szCs w:val="20"/>
              </w:rPr>
              <w:t>/</w:t>
            </w:r>
          </w:p>
          <w:p w:rsidR="008A7A1C" w:rsidRPr="00EF6ACB" w:rsidRDefault="003A03E2"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Garron Hansen</w:t>
            </w:r>
          </w:p>
        </w:tc>
        <w:tc>
          <w:tcPr>
            <w:tcW w:w="1492" w:type="dxa"/>
          </w:tcPr>
          <w:p w:rsidR="008A7A1C" w:rsidRPr="00EF6ACB" w:rsidRDefault="003A03E2"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African Union</w:t>
            </w:r>
          </w:p>
        </w:tc>
        <w:tc>
          <w:tcPr>
            <w:tcW w:w="3027" w:type="dxa"/>
          </w:tcPr>
          <w:p w:rsidR="008A7A1C" w:rsidRPr="00EF6ACB" w:rsidRDefault="00DE72FC"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G</w:t>
            </w:r>
            <w:r w:rsidRPr="00DE72FC">
              <w:rPr>
                <w:rFonts w:asciiTheme="minorHAnsi" w:hAnsiTheme="minorHAnsi" w:cstheme="minorHAnsi"/>
                <w:color w:val="1F497D" w:themeColor="text2"/>
                <w:sz w:val="20"/>
                <w:szCs w:val="20"/>
              </w:rPr>
              <w:t>enerate an evidence base on the prevalence of aflatoxin in Africa, disseminate knowledge about tools and strategies to combat aflatoxins and engage with public and private sector stakeholders on working in partnership to increase an aflatoxin-free food supply.</w:t>
            </w:r>
          </w:p>
        </w:tc>
        <w:tc>
          <w:tcPr>
            <w:tcW w:w="1241" w:type="dxa"/>
          </w:tcPr>
          <w:p w:rsidR="008A7A1C" w:rsidRPr="00EF6ACB" w:rsidRDefault="00624E2D"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Sub-Saharan Africa</w:t>
            </w:r>
          </w:p>
        </w:tc>
        <w:tc>
          <w:tcPr>
            <w:tcW w:w="1350" w:type="dxa"/>
          </w:tcPr>
          <w:p w:rsidR="008A7A1C" w:rsidRPr="00EF6ACB" w:rsidRDefault="003A03E2"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12/1/2016-12/31/2020</w:t>
            </w:r>
          </w:p>
        </w:tc>
        <w:tc>
          <w:tcPr>
            <w:tcW w:w="1170" w:type="dxa"/>
          </w:tcPr>
          <w:p w:rsidR="008A7A1C" w:rsidRPr="00EF6ACB" w:rsidRDefault="008A7A1C" w:rsidP="00925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Control</w:t>
            </w:r>
          </w:p>
        </w:tc>
      </w:tr>
      <w:tr w:rsidR="008A7A1C" w:rsidRPr="004F03AF" w:rsidTr="00914E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8A7A1C" w:rsidRPr="00EF6ACB" w:rsidRDefault="008A7A1C" w:rsidP="00914E1B">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2</w:t>
            </w:r>
          </w:p>
        </w:tc>
        <w:tc>
          <w:tcPr>
            <w:tcW w:w="1530" w:type="dxa"/>
          </w:tcPr>
          <w:p w:rsidR="008A7A1C" w:rsidRPr="00EF6ACB" w:rsidRDefault="008A7A1C" w:rsidP="00914E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lang w:val="en"/>
              </w:rPr>
            </w:pPr>
            <w:r w:rsidRPr="00EF6ACB">
              <w:rPr>
                <w:rFonts w:asciiTheme="minorHAnsi" w:hAnsiTheme="minorHAnsi" w:cstheme="minorHAnsi"/>
                <w:color w:val="1F497D" w:themeColor="text2"/>
                <w:sz w:val="20"/>
                <w:szCs w:val="20"/>
                <w:lang w:val="en"/>
              </w:rPr>
              <w:t>Agriculture</w:t>
            </w:r>
          </w:p>
          <w:p w:rsidR="008A7A1C" w:rsidRPr="00EF6ACB" w:rsidRDefault="008A7A1C" w:rsidP="00914E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lang w:val="en"/>
              </w:rPr>
            </w:pPr>
            <w:r w:rsidRPr="00EF6ACB">
              <w:rPr>
                <w:rFonts w:asciiTheme="minorHAnsi" w:hAnsiTheme="minorHAnsi" w:cstheme="minorHAnsi"/>
                <w:color w:val="1F497D" w:themeColor="text2"/>
                <w:sz w:val="20"/>
                <w:szCs w:val="20"/>
                <w:lang w:val="en"/>
              </w:rPr>
              <w:t>OPP1049295</w:t>
            </w:r>
          </w:p>
        </w:tc>
        <w:tc>
          <w:tcPr>
            <w:tcW w:w="1800" w:type="dxa"/>
          </w:tcPr>
          <w:p w:rsidR="008A7A1C" w:rsidRPr="00EF6ACB" w:rsidRDefault="00C36F34" w:rsidP="00C36F3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 xml:space="preserve">Aflatoxin activities about $1.5 million of a </w:t>
            </w:r>
            <w:r w:rsidR="004010C7">
              <w:rPr>
                <w:rFonts w:asciiTheme="minorHAnsi" w:hAnsiTheme="minorHAnsi" w:cstheme="minorHAnsi"/>
                <w:color w:val="1F497D" w:themeColor="text2"/>
                <w:sz w:val="20"/>
                <w:szCs w:val="20"/>
                <w:lang w:val="en"/>
              </w:rPr>
              <w:t>$15</w:t>
            </w:r>
            <w:r>
              <w:rPr>
                <w:rFonts w:asciiTheme="minorHAnsi" w:hAnsiTheme="minorHAnsi" w:cstheme="minorHAnsi"/>
                <w:color w:val="1F497D" w:themeColor="text2"/>
                <w:sz w:val="20"/>
                <w:szCs w:val="20"/>
                <w:lang w:val="en"/>
              </w:rPr>
              <w:t xml:space="preserve">,000,000 total grant (total multi-donor </w:t>
            </w:r>
            <w:proofErr w:type="spellStart"/>
            <w:r>
              <w:rPr>
                <w:rFonts w:asciiTheme="minorHAnsi" w:hAnsiTheme="minorHAnsi" w:cstheme="minorHAnsi"/>
                <w:color w:val="1F497D" w:themeColor="text2"/>
                <w:sz w:val="20"/>
                <w:szCs w:val="20"/>
                <w:lang w:val="en"/>
              </w:rPr>
              <w:t>AgResults</w:t>
            </w:r>
            <w:proofErr w:type="spellEnd"/>
            <w:r>
              <w:rPr>
                <w:rFonts w:asciiTheme="minorHAnsi" w:hAnsiTheme="minorHAnsi" w:cstheme="minorHAnsi"/>
                <w:color w:val="1F497D" w:themeColor="text2"/>
                <w:sz w:val="20"/>
                <w:szCs w:val="20"/>
                <w:lang w:val="en"/>
              </w:rPr>
              <w:t xml:space="preserve"> fund $115,000,000)</w:t>
            </w:r>
          </w:p>
        </w:tc>
        <w:tc>
          <w:tcPr>
            <w:tcW w:w="1890" w:type="dxa"/>
          </w:tcPr>
          <w:p w:rsidR="008A7A1C" w:rsidRPr="00EF6ACB" w:rsidRDefault="008A7A1C" w:rsidP="00914E1B">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roofErr w:type="spellStart"/>
            <w:r w:rsidRPr="00EF6ACB">
              <w:rPr>
                <w:color w:val="1F497D" w:themeColor="text2"/>
                <w:sz w:val="20"/>
                <w:szCs w:val="20"/>
              </w:rPr>
              <w:t>AgResults</w:t>
            </w:r>
            <w:proofErr w:type="spellEnd"/>
            <w:r w:rsidRPr="00EF6ACB">
              <w:rPr>
                <w:color w:val="1F497D" w:themeColor="text2"/>
                <w:sz w:val="20"/>
                <w:szCs w:val="20"/>
              </w:rPr>
              <w:t>: Innovation in Research &amp; Delivery</w:t>
            </w:r>
          </w:p>
        </w:tc>
        <w:tc>
          <w:tcPr>
            <w:tcW w:w="1350" w:type="dxa"/>
          </w:tcPr>
          <w:p w:rsidR="0043103E" w:rsidRDefault="008A7A1C" w:rsidP="00914E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Orin Hasson</w:t>
            </w:r>
            <w:r w:rsidR="0043103E">
              <w:rPr>
                <w:rFonts w:asciiTheme="minorHAnsi" w:hAnsiTheme="minorHAnsi" w:cstheme="minorHAnsi"/>
                <w:color w:val="1F497D" w:themeColor="text2"/>
                <w:sz w:val="20"/>
                <w:szCs w:val="20"/>
              </w:rPr>
              <w:t>/</w:t>
            </w:r>
          </w:p>
          <w:p w:rsidR="008A7A1C" w:rsidRPr="00EF6ACB" w:rsidRDefault="0043103E" w:rsidP="00914E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Garron Hansen</w:t>
            </w:r>
          </w:p>
        </w:tc>
        <w:tc>
          <w:tcPr>
            <w:tcW w:w="1492" w:type="dxa"/>
          </w:tcPr>
          <w:p w:rsidR="008A7A1C" w:rsidRPr="00EF6ACB" w:rsidRDefault="008A7A1C" w:rsidP="00914E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color w:val="1F497D" w:themeColor="text2"/>
                <w:sz w:val="20"/>
                <w:szCs w:val="20"/>
              </w:rPr>
              <w:t>International Bank for Reconstruction and Development</w:t>
            </w:r>
          </w:p>
        </w:tc>
        <w:tc>
          <w:tcPr>
            <w:tcW w:w="3027" w:type="dxa"/>
          </w:tcPr>
          <w:p w:rsidR="008A7A1C" w:rsidRPr="00EF6ACB" w:rsidRDefault="008A7A1C" w:rsidP="00914E1B">
            <w:pPr>
              <w:pStyle w:val="Default"/>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 xml:space="preserve">Incentivizing smallholder farmer adoption of promising aflatoxin control technologies </w:t>
            </w:r>
          </w:p>
          <w:p w:rsidR="008A7A1C" w:rsidRPr="00EF6ACB" w:rsidRDefault="008A7A1C" w:rsidP="00914E1B">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TOCSectionsChar"/>
                <w:rFonts w:asciiTheme="minorHAnsi" w:hAnsiTheme="minorHAnsi" w:cstheme="minorHAnsi"/>
                <w:color w:val="1F497D" w:themeColor="text2"/>
                <w:sz w:val="20"/>
                <w:szCs w:val="20"/>
              </w:rPr>
            </w:pPr>
          </w:p>
        </w:tc>
        <w:tc>
          <w:tcPr>
            <w:tcW w:w="1241" w:type="dxa"/>
          </w:tcPr>
          <w:p w:rsidR="008A7A1C" w:rsidRPr="00EF6ACB" w:rsidRDefault="008A7A1C" w:rsidP="00914E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Nigeria</w:t>
            </w:r>
          </w:p>
        </w:tc>
        <w:tc>
          <w:tcPr>
            <w:tcW w:w="1350" w:type="dxa"/>
          </w:tcPr>
          <w:p w:rsidR="008A7A1C" w:rsidRPr="00EF6ACB" w:rsidRDefault="008A7A1C" w:rsidP="00914E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color w:val="1F497D" w:themeColor="text2"/>
                <w:sz w:val="20"/>
                <w:szCs w:val="20"/>
              </w:rPr>
              <w:t>11/28/2012 – 9/28/2018</w:t>
            </w:r>
          </w:p>
        </w:tc>
        <w:tc>
          <w:tcPr>
            <w:tcW w:w="1170" w:type="dxa"/>
          </w:tcPr>
          <w:p w:rsidR="008A7A1C" w:rsidRPr="00EF6ACB" w:rsidRDefault="008A7A1C" w:rsidP="00914E1B">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rFonts w:asciiTheme="minorHAnsi" w:hAnsiTheme="minorHAnsi" w:cstheme="minorHAnsi"/>
                <w:color w:val="1F497D" w:themeColor="text2"/>
                <w:sz w:val="20"/>
                <w:szCs w:val="20"/>
              </w:rPr>
              <w:t>Control</w:t>
            </w:r>
          </w:p>
        </w:tc>
      </w:tr>
      <w:tr w:rsidR="00624E2D" w:rsidRPr="004F03AF" w:rsidTr="0031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C6D9F1" w:themeFill="text2" w:themeFillTint="33"/>
          </w:tcPr>
          <w:p w:rsidR="00624E2D" w:rsidRDefault="00DE6112" w:rsidP="00624E2D">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3</w:t>
            </w:r>
          </w:p>
        </w:tc>
        <w:tc>
          <w:tcPr>
            <w:tcW w:w="1530" w:type="dxa"/>
            <w:shd w:val="clear" w:color="auto" w:fill="C6D9F1" w:themeFill="text2" w:themeFillTint="33"/>
          </w:tcPr>
          <w:p w:rsidR="00DE72FC" w:rsidRDefault="00DE72FC" w:rsidP="00624E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Agriculture</w:t>
            </w:r>
          </w:p>
          <w:p w:rsidR="00624E2D" w:rsidRDefault="00624E2D" w:rsidP="00624E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OPP1133356</w:t>
            </w:r>
          </w:p>
        </w:tc>
        <w:tc>
          <w:tcPr>
            <w:tcW w:w="1800" w:type="dxa"/>
            <w:shd w:val="clear" w:color="auto" w:fill="C6D9F1" w:themeFill="text2" w:themeFillTint="33"/>
          </w:tcPr>
          <w:p w:rsidR="00624E2D" w:rsidRDefault="00624E2D" w:rsidP="00624E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$10,000,000</w:t>
            </w:r>
          </w:p>
        </w:tc>
        <w:tc>
          <w:tcPr>
            <w:tcW w:w="1890" w:type="dxa"/>
            <w:shd w:val="clear" w:color="auto" w:fill="C6D9F1" w:themeFill="text2" w:themeFillTint="33"/>
          </w:tcPr>
          <w:p w:rsidR="00624E2D" w:rsidRPr="00314A86" w:rsidRDefault="00624E2D" w:rsidP="00624E2D">
            <w:pPr>
              <w:contextualSpacing/>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proofErr w:type="spellStart"/>
            <w:r>
              <w:rPr>
                <w:color w:val="1F497D" w:themeColor="text2"/>
                <w:sz w:val="20"/>
                <w:szCs w:val="20"/>
              </w:rPr>
              <w:t>Aflasafe</w:t>
            </w:r>
            <w:proofErr w:type="spellEnd"/>
            <w:r>
              <w:rPr>
                <w:color w:val="1F497D" w:themeColor="text2"/>
                <w:sz w:val="20"/>
                <w:szCs w:val="20"/>
              </w:rPr>
              <w:t xml:space="preserve"> Commercialization and Distribution</w:t>
            </w:r>
          </w:p>
        </w:tc>
        <w:tc>
          <w:tcPr>
            <w:tcW w:w="1350" w:type="dxa"/>
            <w:shd w:val="clear" w:color="auto" w:fill="C6D9F1" w:themeFill="text2" w:themeFillTint="33"/>
          </w:tcPr>
          <w:p w:rsidR="00624E2D" w:rsidRDefault="00624E2D" w:rsidP="00624E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Orin Hasson</w:t>
            </w:r>
            <w:r w:rsidR="0043103E">
              <w:rPr>
                <w:rFonts w:asciiTheme="minorHAnsi" w:hAnsiTheme="minorHAnsi" w:cstheme="minorHAnsi"/>
                <w:color w:val="1F497D" w:themeColor="text2"/>
                <w:sz w:val="20"/>
                <w:szCs w:val="20"/>
              </w:rPr>
              <w:t>/ Garron Hansen</w:t>
            </w:r>
          </w:p>
        </w:tc>
        <w:tc>
          <w:tcPr>
            <w:tcW w:w="1492" w:type="dxa"/>
            <w:shd w:val="clear" w:color="auto" w:fill="C6D9F1" w:themeFill="text2" w:themeFillTint="33"/>
          </w:tcPr>
          <w:p w:rsidR="00624E2D" w:rsidRDefault="00624E2D" w:rsidP="00624E2D">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Pr>
                <w:color w:val="1F497D" w:themeColor="text2"/>
                <w:sz w:val="20"/>
                <w:szCs w:val="20"/>
              </w:rPr>
              <w:t>International Institute of Tropical Agriculture</w:t>
            </w:r>
          </w:p>
        </w:tc>
        <w:tc>
          <w:tcPr>
            <w:tcW w:w="3027" w:type="dxa"/>
            <w:shd w:val="clear" w:color="auto" w:fill="C6D9F1" w:themeFill="text2" w:themeFillTint="33"/>
          </w:tcPr>
          <w:p w:rsidR="00624E2D" w:rsidRPr="00D9691F" w:rsidRDefault="00624E2D" w:rsidP="00624E2D">
            <w:pPr>
              <w:cnfStyle w:val="000000100000" w:firstRow="0" w:lastRow="0" w:firstColumn="0" w:lastColumn="0" w:oddVBand="0" w:evenVBand="0" w:oddHBand="1" w:evenHBand="0" w:firstRowFirstColumn="0" w:firstRowLastColumn="0" w:lastRowFirstColumn="0" w:lastRowLastColumn="0"/>
              <w:rPr>
                <w:sz w:val="20"/>
                <w:szCs w:val="20"/>
              </w:rPr>
            </w:pPr>
            <w:r w:rsidRPr="00624E2D">
              <w:rPr>
                <w:color w:val="1F497D" w:themeColor="text2"/>
                <w:sz w:val="20"/>
                <w:szCs w:val="20"/>
              </w:rPr>
              <w:t xml:space="preserve">Support the commercialization and scale-up of </w:t>
            </w:r>
            <w:proofErr w:type="spellStart"/>
            <w:r w:rsidRPr="00624E2D">
              <w:rPr>
                <w:color w:val="1F497D" w:themeColor="text2"/>
                <w:sz w:val="20"/>
                <w:szCs w:val="20"/>
              </w:rPr>
              <w:t>Aflasafe</w:t>
            </w:r>
            <w:proofErr w:type="spellEnd"/>
            <w:r w:rsidRPr="00624E2D">
              <w:rPr>
                <w:color w:val="1F497D" w:themeColor="text2"/>
                <w:sz w:val="20"/>
                <w:szCs w:val="20"/>
              </w:rPr>
              <w:t>, a biocontrol product which significantly reduces aflatoxin levels in maize and groundnuts, in 10 sub-Saharan African countries</w:t>
            </w:r>
          </w:p>
        </w:tc>
        <w:tc>
          <w:tcPr>
            <w:tcW w:w="1241" w:type="dxa"/>
            <w:shd w:val="clear" w:color="auto" w:fill="C6D9F1" w:themeFill="text2" w:themeFillTint="33"/>
          </w:tcPr>
          <w:p w:rsidR="00624E2D" w:rsidRDefault="00624E2D" w:rsidP="00624E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Sub-Saharan Africa</w:t>
            </w:r>
          </w:p>
        </w:tc>
        <w:tc>
          <w:tcPr>
            <w:tcW w:w="1350" w:type="dxa"/>
            <w:shd w:val="clear" w:color="auto" w:fill="C6D9F1" w:themeFill="text2" w:themeFillTint="33"/>
          </w:tcPr>
          <w:p w:rsidR="00624E2D" w:rsidRDefault="0043103E" w:rsidP="00624E2D">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Pr>
                <w:color w:val="1F497D" w:themeColor="text2"/>
                <w:sz w:val="20"/>
                <w:szCs w:val="20"/>
              </w:rPr>
              <w:t>11/2/2015 -  11/30/20</w:t>
            </w:r>
            <w:r w:rsidR="00624E2D">
              <w:rPr>
                <w:color w:val="1F497D" w:themeColor="text2"/>
                <w:sz w:val="20"/>
                <w:szCs w:val="20"/>
              </w:rPr>
              <w:t>20</w:t>
            </w:r>
          </w:p>
        </w:tc>
        <w:tc>
          <w:tcPr>
            <w:tcW w:w="1170" w:type="dxa"/>
            <w:shd w:val="clear" w:color="auto" w:fill="C6D9F1" w:themeFill="text2" w:themeFillTint="33"/>
          </w:tcPr>
          <w:p w:rsidR="00624E2D" w:rsidRDefault="00624E2D" w:rsidP="00624E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Control</w:t>
            </w:r>
          </w:p>
        </w:tc>
      </w:tr>
      <w:tr w:rsidR="003A03E2" w:rsidRPr="004F03AF" w:rsidTr="00314A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C6D9F1" w:themeFill="text2" w:themeFillTint="33"/>
          </w:tcPr>
          <w:p w:rsidR="003A03E2" w:rsidRDefault="00DE6112" w:rsidP="00624E2D">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4</w:t>
            </w:r>
          </w:p>
        </w:tc>
        <w:tc>
          <w:tcPr>
            <w:tcW w:w="1530" w:type="dxa"/>
            <w:shd w:val="clear" w:color="auto" w:fill="C6D9F1" w:themeFill="text2" w:themeFillTint="33"/>
          </w:tcPr>
          <w:p w:rsidR="00DE72FC" w:rsidRDefault="00DE72FC" w:rsidP="00624E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Agriculture</w:t>
            </w:r>
          </w:p>
          <w:p w:rsidR="003A03E2" w:rsidRDefault="003A03E2" w:rsidP="00624E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OPP1151824</w:t>
            </w:r>
          </w:p>
        </w:tc>
        <w:tc>
          <w:tcPr>
            <w:tcW w:w="1800" w:type="dxa"/>
            <w:shd w:val="clear" w:color="auto" w:fill="C6D9F1" w:themeFill="text2" w:themeFillTint="33"/>
          </w:tcPr>
          <w:p w:rsidR="003A03E2" w:rsidRDefault="003A03E2" w:rsidP="00624E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$6,527,791</w:t>
            </w:r>
          </w:p>
          <w:p w:rsidR="00DE72FC" w:rsidRDefault="00DE72FC" w:rsidP="00624E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(approximately 1/3 of budget for mycotoxin control)</w:t>
            </w:r>
          </w:p>
        </w:tc>
        <w:tc>
          <w:tcPr>
            <w:tcW w:w="1890" w:type="dxa"/>
            <w:shd w:val="clear" w:color="auto" w:fill="C6D9F1" w:themeFill="text2" w:themeFillTint="33"/>
          </w:tcPr>
          <w:p w:rsidR="003A03E2" w:rsidRDefault="003A03E2" w:rsidP="00624E2D">
            <w:pPr>
              <w:contextualSpacing/>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Broad Spectrum Biological Control of Fungal Diseases</w:t>
            </w:r>
          </w:p>
        </w:tc>
        <w:tc>
          <w:tcPr>
            <w:tcW w:w="1350" w:type="dxa"/>
            <w:shd w:val="clear" w:color="auto" w:fill="C6D9F1" w:themeFill="text2" w:themeFillTint="33"/>
          </w:tcPr>
          <w:p w:rsidR="003A03E2" w:rsidRDefault="003A03E2" w:rsidP="00624E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Vipula Shukla</w:t>
            </w:r>
          </w:p>
        </w:tc>
        <w:tc>
          <w:tcPr>
            <w:tcW w:w="1492" w:type="dxa"/>
            <w:shd w:val="clear" w:color="auto" w:fill="C6D9F1" w:themeFill="text2" w:themeFillTint="33"/>
          </w:tcPr>
          <w:p w:rsidR="003A03E2" w:rsidRDefault="0043103E" w:rsidP="00624E2D">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Ag Biome, Inc.</w:t>
            </w:r>
          </w:p>
        </w:tc>
        <w:tc>
          <w:tcPr>
            <w:tcW w:w="3027" w:type="dxa"/>
            <w:shd w:val="clear" w:color="auto" w:fill="C6D9F1" w:themeFill="text2" w:themeFillTint="33"/>
          </w:tcPr>
          <w:p w:rsidR="003A03E2" w:rsidRPr="00624E2D" w:rsidRDefault="0043103E" w:rsidP="00624E2D">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I</w:t>
            </w:r>
            <w:r w:rsidRPr="0043103E">
              <w:rPr>
                <w:color w:val="1F497D" w:themeColor="text2"/>
                <w:sz w:val="20"/>
                <w:szCs w:val="20"/>
              </w:rPr>
              <w:t>dentify and validate biological fungicides to control one or more of three major crop diseases important in Sub-Saharan Africa including sorghum anthracnose, black Sigatoka in banana, and aflatoxin contamination in maize</w:t>
            </w:r>
          </w:p>
        </w:tc>
        <w:tc>
          <w:tcPr>
            <w:tcW w:w="1241" w:type="dxa"/>
            <w:shd w:val="clear" w:color="auto" w:fill="C6D9F1" w:themeFill="text2" w:themeFillTint="33"/>
          </w:tcPr>
          <w:p w:rsidR="003A03E2" w:rsidRDefault="0043103E" w:rsidP="00624E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Sub-Saharan Africa</w:t>
            </w:r>
          </w:p>
        </w:tc>
        <w:tc>
          <w:tcPr>
            <w:tcW w:w="1350" w:type="dxa"/>
            <w:shd w:val="clear" w:color="auto" w:fill="C6D9F1" w:themeFill="text2" w:themeFillTint="33"/>
          </w:tcPr>
          <w:p w:rsidR="003A03E2" w:rsidRDefault="0043103E" w:rsidP="00624E2D">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 xml:space="preserve">11/15/2016 – </w:t>
            </w:r>
          </w:p>
          <w:p w:rsidR="0043103E" w:rsidRDefault="0043103E" w:rsidP="00624E2D">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12/31/2019</w:t>
            </w:r>
          </w:p>
        </w:tc>
        <w:tc>
          <w:tcPr>
            <w:tcW w:w="1170" w:type="dxa"/>
            <w:shd w:val="clear" w:color="auto" w:fill="C6D9F1" w:themeFill="text2" w:themeFillTint="33"/>
          </w:tcPr>
          <w:p w:rsidR="003A03E2" w:rsidRDefault="0043103E" w:rsidP="00624E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Control</w:t>
            </w:r>
          </w:p>
        </w:tc>
      </w:tr>
    </w:tbl>
    <w:p w:rsidR="0043103E" w:rsidRDefault="0043103E" w:rsidP="00712C60">
      <w:pPr>
        <w:pStyle w:val="ListParagraph"/>
        <w:ind w:left="5040" w:firstLine="720"/>
        <w:rPr>
          <w:b/>
          <w:color w:val="9BBB59" w:themeColor="accent3"/>
          <w:sz w:val="28"/>
          <w:szCs w:val="28"/>
        </w:rPr>
      </w:pPr>
    </w:p>
    <w:p w:rsidR="00712C60" w:rsidRPr="000E5AEC" w:rsidRDefault="00712C60" w:rsidP="00712C60">
      <w:pPr>
        <w:pStyle w:val="ListParagraph"/>
        <w:ind w:left="5040" w:firstLine="720"/>
        <w:rPr>
          <w:b/>
          <w:color w:val="9BBB59" w:themeColor="accent3"/>
          <w:sz w:val="28"/>
          <w:szCs w:val="28"/>
        </w:rPr>
      </w:pPr>
      <w:r w:rsidRPr="000E5AEC">
        <w:rPr>
          <w:b/>
          <w:color w:val="9BBB59" w:themeColor="accent3"/>
          <w:sz w:val="28"/>
          <w:szCs w:val="28"/>
        </w:rPr>
        <w:t>Diagnostics Grants</w:t>
      </w:r>
    </w:p>
    <w:p w:rsidR="00712C60" w:rsidRDefault="00712C60" w:rsidP="00712C60">
      <w:pPr>
        <w:pStyle w:val="ListParagraph"/>
        <w:rPr>
          <w:color w:val="1F497D"/>
          <w:sz w:val="20"/>
          <w:szCs w:val="20"/>
        </w:rPr>
      </w:pPr>
    </w:p>
    <w:tbl>
      <w:tblPr>
        <w:tblStyle w:val="LightGrid-Accent3"/>
        <w:tblW w:w="15300" w:type="dxa"/>
        <w:tblInd w:w="-1062" w:type="dxa"/>
        <w:tblLayout w:type="fixed"/>
        <w:tblLook w:val="04A0" w:firstRow="1" w:lastRow="0" w:firstColumn="1" w:lastColumn="0" w:noHBand="0" w:noVBand="1"/>
      </w:tblPr>
      <w:tblGrid>
        <w:gridCol w:w="450"/>
        <w:gridCol w:w="1530"/>
        <w:gridCol w:w="1800"/>
        <w:gridCol w:w="1890"/>
        <w:gridCol w:w="1350"/>
        <w:gridCol w:w="1440"/>
        <w:gridCol w:w="3060"/>
        <w:gridCol w:w="1260"/>
        <w:gridCol w:w="1350"/>
        <w:gridCol w:w="1170"/>
      </w:tblGrid>
      <w:tr w:rsidR="00712C60" w:rsidRPr="004F03AF" w:rsidTr="00914E1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 w:type="dxa"/>
          </w:tcPr>
          <w:p w:rsidR="00712C60" w:rsidRPr="00EF6ACB" w:rsidRDefault="00712C60" w:rsidP="00914E1B">
            <w:pPr>
              <w:jc w:val="center"/>
              <w:rPr>
                <w:rFonts w:asciiTheme="minorHAnsi" w:hAnsiTheme="minorHAnsi" w:cstheme="minorHAnsi"/>
                <w:b w:val="0"/>
                <w:color w:val="1F497D" w:themeColor="text2"/>
                <w:kern w:val="24"/>
                <w:sz w:val="20"/>
                <w:szCs w:val="20"/>
              </w:rPr>
            </w:pPr>
          </w:p>
        </w:tc>
        <w:tc>
          <w:tcPr>
            <w:tcW w:w="1530" w:type="dxa"/>
            <w:hideMark/>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1F497D" w:themeColor="text2"/>
                <w:sz w:val="20"/>
                <w:szCs w:val="20"/>
              </w:rPr>
            </w:pPr>
            <w:r w:rsidRPr="00EF6ACB">
              <w:rPr>
                <w:rFonts w:asciiTheme="minorHAnsi" w:hAnsiTheme="minorHAnsi" w:cstheme="minorHAnsi"/>
                <w:color w:val="1F497D" w:themeColor="text2"/>
                <w:kern w:val="24"/>
                <w:sz w:val="20"/>
                <w:szCs w:val="20"/>
              </w:rPr>
              <w:t xml:space="preserve">Team  </w:t>
            </w:r>
          </w:p>
        </w:tc>
        <w:tc>
          <w:tcPr>
            <w:tcW w:w="1800" w:type="dxa"/>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Amount</w:t>
            </w:r>
          </w:p>
        </w:tc>
        <w:tc>
          <w:tcPr>
            <w:tcW w:w="1890" w:type="dxa"/>
            <w:hideMark/>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Title</w:t>
            </w:r>
          </w:p>
        </w:tc>
        <w:tc>
          <w:tcPr>
            <w:tcW w:w="1350" w:type="dxa"/>
            <w:hideMark/>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PO</w:t>
            </w:r>
          </w:p>
        </w:tc>
        <w:tc>
          <w:tcPr>
            <w:tcW w:w="1440" w:type="dxa"/>
            <w:hideMark/>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Grantee</w:t>
            </w:r>
          </w:p>
        </w:tc>
        <w:tc>
          <w:tcPr>
            <w:tcW w:w="3060" w:type="dxa"/>
            <w:hideMark/>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Description</w:t>
            </w:r>
          </w:p>
        </w:tc>
        <w:tc>
          <w:tcPr>
            <w:tcW w:w="1260" w:type="dxa"/>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Geography</w:t>
            </w:r>
          </w:p>
        </w:tc>
        <w:tc>
          <w:tcPr>
            <w:tcW w:w="1350" w:type="dxa"/>
            <w:hideMark/>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EF6ACB">
              <w:rPr>
                <w:color w:val="1F497D" w:themeColor="text2"/>
                <w:sz w:val="20"/>
                <w:szCs w:val="20"/>
              </w:rPr>
              <w:t>Duration</w:t>
            </w:r>
          </w:p>
        </w:tc>
        <w:tc>
          <w:tcPr>
            <w:tcW w:w="1170" w:type="dxa"/>
          </w:tcPr>
          <w:p w:rsidR="00712C60" w:rsidRPr="00EF6ACB" w:rsidRDefault="00712C60" w:rsidP="00914E1B">
            <w:pPr>
              <w:cnfStyle w:val="100000000000" w:firstRow="1" w:lastRow="0" w:firstColumn="0" w:lastColumn="0" w:oddVBand="0" w:evenVBand="0" w:oddHBand="0" w:evenHBand="0" w:firstRowFirstColumn="0" w:firstRowLastColumn="0" w:lastRowFirstColumn="0" w:lastRowLastColumn="0"/>
              <w:rPr>
                <w:color w:val="1F497D" w:themeColor="text2"/>
                <w:sz w:val="20"/>
                <w:szCs w:val="20"/>
              </w:rPr>
            </w:pPr>
            <w:r w:rsidRPr="00EF6ACB">
              <w:rPr>
                <w:color w:val="1F497D" w:themeColor="text2"/>
                <w:sz w:val="20"/>
                <w:szCs w:val="20"/>
              </w:rPr>
              <w:t>Type</w:t>
            </w:r>
          </w:p>
        </w:tc>
      </w:tr>
      <w:tr w:rsidR="00712C60" w:rsidRPr="004F03AF" w:rsidTr="00914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712C60" w:rsidRPr="00EF6ACB" w:rsidRDefault="00083421" w:rsidP="00914E1B">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1</w:t>
            </w:r>
          </w:p>
        </w:tc>
        <w:tc>
          <w:tcPr>
            <w:tcW w:w="1530" w:type="dxa"/>
          </w:tcPr>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Agriculture (Livestock)</w:t>
            </w:r>
          </w:p>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OPP1022219</w:t>
            </w:r>
            <w:r w:rsidR="007E2E7C">
              <w:rPr>
                <w:rFonts w:asciiTheme="minorHAnsi" w:hAnsiTheme="minorHAnsi" w:cstheme="minorHAnsi"/>
                <w:color w:val="1F497D" w:themeColor="text2"/>
                <w:sz w:val="20"/>
                <w:szCs w:val="20"/>
              </w:rPr>
              <w:t xml:space="preserve"> &amp;</w:t>
            </w:r>
          </w:p>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OPP1078804 (renewal)</w:t>
            </w:r>
          </w:p>
        </w:tc>
        <w:tc>
          <w:tcPr>
            <w:tcW w:w="1800" w:type="dxa"/>
          </w:tcPr>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BMGF Amount: $500,000 of $2,850,000 for aflatoxin</w:t>
            </w:r>
          </w:p>
        </w:tc>
        <w:tc>
          <w:tcPr>
            <w:tcW w:w="1890" w:type="dxa"/>
          </w:tcPr>
          <w:p w:rsidR="00712C60" w:rsidRPr="00EF6ACB" w:rsidRDefault="00712C60" w:rsidP="00914E1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rPr>
            </w:pPr>
            <w:r w:rsidRPr="00EF6ACB">
              <w:rPr>
                <w:rFonts w:asciiTheme="minorHAnsi" w:hAnsiTheme="minorHAnsi" w:cstheme="minorHAnsi"/>
                <w:color w:val="1F497D" w:themeColor="text2"/>
                <w:sz w:val="20"/>
              </w:rPr>
              <w:t>Livestock Diagnostic Development</w:t>
            </w:r>
          </w:p>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tc>
        <w:tc>
          <w:tcPr>
            <w:tcW w:w="1350" w:type="dxa"/>
          </w:tcPr>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 xml:space="preserve">Samuel </w:t>
            </w:r>
            <w:proofErr w:type="spellStart"/>
            <w:r w:rsidRPr="00EF6ACB">
              <w:rPr>
                <w:rFonts w:asciiTheme="minorHAnsi" w:hAnsiTheme="minorHAnsi" w:cstheme="minorHAnsi"/>
                <w:color w:val="1F497D" w:themeColor="text2"/>
                <w:sz w:val="20"/>
                <w:szCs w:val="20"/>
              </w:rPr>
              <w:t>Thevasagayam</w:t>
            </w:r>
            <w:proofErr w:type="spellEnd"/>
          </w:p>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tc>
        <w:tc>
          <w:tcPr>
            <w:tcW w:w="1440" w:type="dxa"/>
          </w:tcPr>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Diagnostics for All</w:t>
            </w:r>
          </w:p>
        </w:tc>
        <w:tc>
          <w:tcPr>
            <w:tcW w:w="3060" w:type="dxa"/>
          </w:tcPr>
          <w:p w:rsidR="00712C60" w:rsidRPr="00EF6ACB" w:rsidRDefault="00712C60" w:rsidP="00914E1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1F497D" w:themeColor="text2"/>
                <w:kern w:val="24"/>
                <w:sz w:val="20"/>
                <w:szCs w:val="20"/>
              </w:rPr>
            </w:pPr>
            <w:r w:rsidRPr="00EF6ACB">
              <w:rPr>
                <w:rFonts w:asciiTheme="minorHAnsi" w:hAnsiTheme="minorHAnsi" w:cstheme="minorHAnsi"/>
                <w:bCs/>
                <w:color w:val="1F497D" w:themeColor="text2"/>
                <w:kern w:val="24"/>
                <w:sz w:val="20"/>
                <w:szCs w:val="20"/>
              </w:rPr>
              <w:t xml:space="preserve">The </w:t>
            </w:r>
            <w:r w:rsidRPr="00EF6ACB">
              <w:rPr>
                <w:rFonts w:asciiTheme="minorHAnsi" w:hAnsiTheme="minorHAnsi" w:cstheme="minorHAnsi"/>
                <w:color w:val="1F497D" w:themeColor="text2"/>
                <w:sz w:val="20"/>
                <w:szCs w:val="20"/>
              </w:rPr>
              <w:t>development of three low-cost, easy-to-use diagnostic tests.  One for pregnancy detection in dairy cattle, one for detection of gram positive bacteria (</w:t>
            </w:r>
            <w:proofErr w:type="gramStart"/>
            <w:r w:rsidRPr="00EF6ACB">
              <w:rPr>
                <w:rFonts w:asciiTheme="minorHAnsi" w:hAnsiTheme="minorHAnsi" w:cstheme="minorHAnsi"/>
                <w:color w:val="1F497D" w:themeColor="text2"/>
                <w:sz w:val="20"/>
                <w:szCs w:val="20"/>
              </w:rPr>
              <w:t>Staphylococcus  and</w:t>
            </w:r>
            <w:proofErr w:type="gramEnd"/>
            <w:r w:rsidRPr="00EF6ACB">
              <w:rPr>
                <w:rFonts w:asciiTheme="minorHAnsi" w:hAnsiTheme="minorHAnsi" w:cstheme="minorHAnsi"/>
                <w:color w:val="1F497D" w:themeColor="text2"/>
                <w:sz w:val="20"/>
                <w:szCs w:val="20"/>
              </w:rPr>
              <w:t xml:space="preserve"> Streptococcus) in milk, and one for detection of Aflatoxins (A. </w:t>
            </w:r>
            <w:proofErr w:type="spellStart"/>
            <w:r w:rsidRPr="00EF6ACB">
              <w:rPr>
                <w:rFonts w:asciiTheme="minorHAnsi" w:hAnsiTheme="minorHAnsi" w:cstheme="minorHAnsi"/>
                <w:i/>
                <w:color w:val="1F497D" w:themeColor="text2"/>
                <w:sz w:val="20"/>
                <w:szCs w:val="20"/>
              </w:rPr>
              <w:t>flavus</w:t>
            </w:r>
            <w:proofErr w:type="spellEnd"/>
            <w:r w:rsidRPr="00EF6ACB">
              <w:rPr>
                <w:rFonts w:asciiTheme="minorHAnsi" w:hAnsiTheme="minorHAnsi" w:cstheme="minorHAnsi"/>
                <w:color w:val="1F497D" w:themeColor="text2"/>
                <w:sz w:val="20"/>
                <w:szCs w:val="20"/>
              </w:rPr>
              <w:t xml:space="preserve"> and A. </w:t>
            </w:r>
            <w:proofErr w:type="spellStart"/>
            <w:r w:rsidRPr="00EF6ACB">
              <w:rPr>
                <w:rFonts w:asciiTheme="minorHAnsi" w:hAnsiTheme="minorHAnsi" w:cstheme="minorHAnsi"/>
                <w:i/>
                <w:color w:val="1F497D" w:themeColor="text2"/>
                <w:sz w:val="20"/>
                <w:szCs w:val="20"/>
              </w:rPr>
              <w:t>parasiticus</w:t>
            </w:r>
            <w:proofErr w:type="spellEnd"/>
            <w:r w:rsidRPr="00EF6ACB">
              <w:rPr>
                <w:rFonts w:asciiTheme="minorHAnsi" w:hAnsiTheme="minorHAnsi" w:cstheme="minorHAnsi"/>
                <w:color w:val="1F497D" w:themeColor="text2"/>
                <w:sz w:val="20"/>
                <w:szCs w:val="20"/>
              </w:rPr>
              <w:t xml:space="preserve">) in stored feed.  </w:t>
            </w:r>
          </w:p>
        </w:tc>
        <w:tc>
          <w:tcPr>
            <w:tcW w:w="1260" w:type="dxa"/>
          </w:tcPr>
          <w:p w:rsidR="00712C60" w:rsidRPr="00EF6ACB" w:rsidRDefault="00545742"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Sub-Saharan Africa</w:t>
            </w:r>
          </w:p>
        </w:tc>
        <w:tc>
          <w:tcPr>
            <w:tcW w:w="1350" w:type="dxa"/>
          </w:tcPr>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 xml:space="preserve">2/18/2011- </w:t>
            </w:r>
            <w:r w:rsidR="000C55B8">
              <w:rPr>
                <w:rFonts w:asciiTheme="minorHAnsi" w:hAnsiTheme="minorHAnsi" w:cstheme="minorHAnsi"/>
                <w:color w:val="1F497D" w:themeColor="text2"/>
                <w:sz w:val="20"/>
                <w:szCs w:val="20"/>
              </w:rPr>
              <w:t>12/31/2013</w:t>
            </w:r>
            <w:bookmarkStart w:id="0" w:name="_GoBack"/>
            <w:bookmarkEnd w:id="0"/>
          </w:p>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1/1/2014-12/31/2016</w:t>
            </w:r>
          </w:p>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(renewal)</w:t>
            </w:r>
          </w:p>
        </w:tc>
        <w:tc>
          <w:tcPr>
            <w:tcW w:w="1170" w:type="dxa"/>
          </w:tcPr>
          <w:p w:rsidR="00712C60" w:rsidRPr="00EF6ACB" w:rsidRDefault="00712C60" w:rsidP="00914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Diagnostics</w:t>
            </w:r>
          </w:p>
        </w:tc>
      </w:tr>
    </w:tbl>
    <w:p w:rsidR="00712C60" w:rsidRDefault="00712C60" w:rsidP="000E5AEC">
      <w:pPr>
        <w:ind w:firstLine="720"/>
        <w:jc w:val="center"/>
        <w:rPr>
          <w:b/>
          <w:color w:val="C0504D" w:themeColor="accent2"/>
          <w:sz w:val="28"/>
          <w:szCs w:val="28"/>
        </w:rPr>
      </w:pPr>
    </w:p>
    <w:p w:rsidR="00FD39CA" w:rsidRDefault="00FD39CA" w:rsidP="000E5AEC">
      <w:pPr>
        <w:ind w:firstLine="720"/>
        <w:jc w:val="center"/>
        <w:rPr>
          <w:b/>
          <w:color w:val="C0504D" w:themeColor="accent2"/>
          <w:sz w:val="28"/>
          <w:szCs w:val="28"/>
        </w:rPr>
      </w:pPr>
    </w:p>
    <w:p w:rsidR="00FD39CA" w:rsidRDefault="00FD39CA"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DE6112" w:rsidRDefault="00DE6112" w:rsidP="000E5AEC">
      <w:pPr>
        <w:ind w:firstLine="720"/>
        <w:jc w:val="center"/>
        <w:rPr>
          <w:b/>
          <w:color w:val="C0504D" w:themeColor="accent2"/>
          <w:sz w:val="28"/>
          <w:szCs w:val="28"/>
        </w:rPr>
      </w:pPr>
    </w:p>
    <w:p w:rsidR="00EF6ACB" w:rsidRPr="000E5AEC" w:rsidRDefault="00EF6ACB" w:rsidP="000E5AEC">
      <w:pPr>
        <w:ind w:firstLine="720"/>
        <w:jc w:val="center"/>
        <w:rPr>
          <w:b/>
          <w:color w:val="C0504D" w:themeColor="accent2"/>
          <w:sz w:val="28"/>
          <w:szCs w:val="28"/>
        </w:rPr>
      </w:pPr>
      <w:r w:rsidRPr="000E5AEC">
        <w:rPr>
          <w:b/>
          <w:color w:val="C0504D" w:themeColor="accent2"/>
          <w:sz w:val="28"/>
          <w:szCs w:val="28"/>
        </w:rPr>
        <w:lastRenderedPageBreak/>
        <w:t xml:space="preserve">Health Impact </w:t>
      </w:r>
      <w:r w:rsidR="000E5AEC">
        <w:rPr>
          <w:b/>
          <w:color w:val="C0504D" w:themeColor="accent2"/>
          <w:sz w:val="28"/>
          <w:szCs w:val="28"/>
        </w:rPr>
        <w:t>Grants</w:t>
      </w:r>
    </w:p>
    <w:p w:rsidR="00083A8D" w:rsidRPr="004F03AF" w:rsidRDefault="00083A8D" w:rsidP="00083A8D">
      <w:pPr>
        <w:ind w:left="720"/>
        <w:rPr>
          <w:color w:val="1F497D"/>
          <w:sz w:val="20"/>
          <w:szCs w:val="20"/>
        </w:rPr>
      </w:pPr>
    </w:p>
    <w:tbl>
      <w:tblPr>
        <w:tblStyle w:val="LightGrid-Accent2"/>
        <w:tblW w:w="15300" w:type="dxa"/>
        <w:tblInd w:w="-1062" w:type="dxa"/>
        <w:tblLayout w:type="fixed"/>
        <w:tblLook w:val="04A0" w:firstRow="1" w:lastRow="0" w:firstColumn="1" w:lastColumn="0" w:noHBand="0" w:noVBand="1"/>
      </w:tblPr>
      <w:tblGrid>
        <w:gridCol w:w="450"/>
        <w:gridCol w:w="1530"/>
        <w:gridCol w:w="1800"/>
        <w:gridCol w:w="1890"/>
        <w:gridCol w:w="1350"/>
        <w:gridCol w:w="1440"/>
        <w:gridCol w:w="3060"/>
        <w:gridCol w:w="1260"/>
        <w:gridCol w:w="1350"/>
        <w:gridCol w:w="1170"/>
      </w:tblGrid>
      <w:tr w:rsidR="00C62B42" w:rsidRPr="004F03AF" w:rsidTr="000E5AE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 w:type="dxa"/>
          </w:tcPr>
          <w:p w:rsidR="00C62B42" w:rsidRPr="004F03AF" w:rsidRDefault="00C62B42" w:rsidP="008030B7">
            <w:pPr>
              <w:jc w:val="center"/>
              <w:rPr>
                <w:rFonts w:asciiTheme="minorHAnsi" w:hAnsiTheme="minorHAnsi" w:cstheme="minorHAnsi"/>
                <w:b w:val="0"/>
                <w:color w:val="1F497D" w:themeColor="text2"/>
                <w:kern w:val="24"/>
                <w:sz w:val="20"/>
                <w:szCs w:val="20"/>
              </w:rPr>
            </w:pPr>
          </w:p>
        </w:tc>
        <w:tc>
          <w:tcPr>
            <w:tcW w:w="1530" w:type="dxa"/>
            <w:hideMark/>
          </w:tcPr>
          <w:p w:rsidR="00C62B42" w:rsidRPr="004F03AF" w:rsidRDefault="000547C3" w:rsidP="00083A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1F497D"/>
                <w:sz w:val="20"/>
                <w:szCs w:val="20"/>
              </w:rPr>
            </w:pPr>
            <w:r w:rsidRPr="004F03AF">
              <w:rPr>
                <w:rFonts w:asciiTheme="minorHAnsi" w:hAnsiTheme="minorHAnsi" w:cstheme="minorHAnsi"/>
                <w:color w:val="1F497D" w:themeColor="text2"/>
                <w:kern w:val="24"/>
                <w:sz w:val="20"/>
                <w:szCs w:val="20"/>
              </w:rPr>
              <w:t xml:space="preserve">Team </w:t>
            </w:r>
            <w:r w:rsidR="00C62B42" w:rsidRPr="004F03AF">
              <w:rPr>
                <w:rFonts w:asciiTheme="minorHAnsi" w:hAnsiTheme="minorHAnsi" w:cstheme="minorHAnsi"/>
                <w:color w:val="1F497D" w:themeColor="text2"/>
                <w:kern w:val="24"/>
                <w:sz w:val="20"/>
                <w:szCs w:val="20"/>
              </w:rPr>
              <w:t xml:space="preserve"> </w:t>
            </w:r>
          </w:p>
        </w:tc>
        <w:tc>
          <w:tcPr>
            <w:tcW w:w="1800" w:type="dxa"/>
          </w:tcPr>
          <w:p w:rsidR="00C62B42" w:rsidRPr="004F03AF" w:rsidRDefault="00C62B42" w:rsidP="00186DE2">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Amount</w:t>
            </w:r>
          </w:p>
        </w:tc>
        <w:tc>
          <w:tcPr>
            <w:tcW w:w="1890" w:type="dxa"/>
            <w:hideMark/>
          </w:tcPr>
          <w:p w:rsidR="00C62B42" w:rsidRPr="004F03AF" w:rsidRDefault="00C62B42">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Title</w:t>
            </w:r>
          </w:p>
        </w:tc>
        <w:tc>
          <w:tcPr>
            <w:tcW w:w="1350" w:type="dxa"/>
            <w:hideMark/>
          </w:tcPr>
          <w:p w:rsidR="00C62B42" w:rsidRPr="004F03AF" w:rsidRDefault="00C62B42">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PO</w:t>
            </w:r>
          </w:p>
        </w:tc>
        <w:tc>
          <w:tcPr>
            <w:tcW w:w="1440" w:type="dxa"/>
            <w:hideMark/>
          </w:tcPr>
          <w:p w:rsidR="00C62B42" w:rsidRPr="004F03AF" w:rsidRDefault="00C62B42">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Grantee</w:t>
            </w:r>
          </w:p>
        </w:tc>
        <w:tc>
          <w:tcPr>
            <w:tcW w:w="3060" w:type="dxa"/>
            <w:hideMark/>
          </w:tcPr>
          <w:p w:rsidR="00C62B42" w:rsidRPr="004F03AF" w:rsidRDefault="00C62B42">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Description</w:t>
            </w:r>
          </w:p>
        </w:tc>
        <w:tc>
          <w:tcPr>
            <w:tcW w:w="1260" w:type="dxa"/>
          </w:tcPr>
          <w:p w:rsidR="00C62B42" w:rsidRPr="004F03AF" w:rsidRDefault="00C62B42" w:rsidP="00083A8D">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Geography</w:t>
            </w:r>
          </w:p>
        </w:tc>
        <w:tc>
          <w:tcPr>
            <w:tcW w:w="1350" w:type="dxa"/>
            <w:hideMark/>
          </w:tcPr>
          <w:p w:rsidR="00C62B42" w:rsidRPr="004F03AF" w:rsidRDefault="00C62B42" w:rsidP="00083A8D">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Duration</w:t>
            </w:r>
          </w:p>
        </w:tc>
        <w:tc>
          <w:tcPr>
            <w:tcW w:w="1170" w:type="dxa"/>
          </w:tcPr>
          <w:p w:rsidR="00C62B42" w:rsidRPr="004F03AF" w:rsidRDefault="00C62B42" w:rsidP="00083A8D">
            <w:pPr>
              <w:cnfStyle w:val="100000000000" w:firstRow="1" w:lastRow="0" w:firstColumn="0" w:lastColumn="0" w:oddVBand="0" w:evenVBand="0" w:oddHBand="0" w:evenHBand="0" w:firstRowFirstColumn="0" w:firstRowLastColumn="0" w:lastRowFirstColumn="0" w:lastRowLastColumn="0"/>
              <w:rPr>
                <w:color w:val="1F497D"/>
                <w:sz w:val="20"/>
                <w:szCs w:val="20"/>
              </w:rPr>
            </w:pPr>
            <w:r w:rsidRPr="004F03AF">
              <w:rPr>
                <w:color w:val="1F497D"/>
                <w:sz w:val="20"/>
                <w:szCs w:val="20"/>
              </w:rPr>
              <w:t>Type</w:t>
            </w:r>
          </w:p>
        </w:tc>
      </w:tr>
      <w:tr w:rsidR="000E5AEC" w:rsidRPr="004F03AF" w:rsidTr="000E5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EF6ACB" w:rsidRPr="004F03AF" w:rsidRDefault="00EF6ACB" w:rsidP="008030B7">
            <w:pPr>
              <w:jc w:val="center"/>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1</w:t>
            </w:r>
          </w:p>
        </w:tc>
        <w:tc>
          <w:tcPr>
            <w:tcW w:w="1530" w:type="dxa"/>
          </w:tcPr>
          <w:p w:rsidR="00EF6ACB"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lang w:val="en"/>
              </w:rPr>
            </w:pPr>
            <w:r w:rsidRPr="004F03AF">
              <w:rPr>
                <w:rFonts w:asciiTheme="minorHAnsi" w:hAnsiTheme="minorHAnsi" w:cstheme="minorHAnsi"/>
                <w:color w:val="1F497D" w:themeColor="text2"/>
                <w:sz w:val="20"/>
                <w:szCs w:val="20"/>
                <w:lang w:val="en"/>
              </w:rPr>
              <w:t xml:space="preserve">Discovery </w:t>
            </w:r>
          </w:p>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lang w:val="en"/>
              </w:rPr>
              <w:t>OPP1066947</w:t>
            </w:r>
          </w:p>
        </w:tc>
        <w:tc>
          <w:tcPr>
            <w:tcW w:w="1800" w:type="dxa"/>
          </w:tcPr>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lang w:val="en"/>
              </w:rPr>
              <w:t>$1,167,679</w:t>
            </w:r>
            <w:r w:rsidRPr="004F03AF">
              <w:rPr>
                <w:rFonts w:asciiTheme="minorHAnsi" w:hAnsiTheme="minorHAnsi" w:cstheme="minorHAnsi"/>
                <w:color w:val="1F497D" w:themeColor="text2"/>
                <w:sz w:val="20"/>
                <w:szCs w:val="20"/>
              </w:rPr>
              <w:t>.</w:t>
            </w:r>
            <w:r w:rsidR="008B4A66">
              <w:rPr>
                <w:rFonts w:asciiTheme="minorHAnsi" w:hAnsiTheme="minorHAnsi" w:cstheme="minorHAnsi"/>
                <w:color w:val="1F497D" w:themeColor="text2"/>
                <w:sz w:val="20"/>
                <w:szCs w:val="20"/>
              </w:rPr>
              <w:t>00</w:t>
            </w:r>
          </w:p>
        </w:tc>
        <w:tc>
          <w:tcPr>
            <w:tcW w:w="1890" w:type="dxa"/>
          </w:tcPr>
          <w:p w:rsidR="00EF6ACB" w:rsidRPr="004F03AF" w:rsidRDefault="00EF6ACB" w:rsidP="00E9413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Understanding mechanisms and identifying biomarkers for the relationship between aflatoxin exposure and child stunting</w:t>
            </w:r>
          </w:p>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tc>
        <w:tc>
          <w:tcPr>
            <w:tcW w:w="1350" w:type="dxa"/>
          </w:tcPr>
          <w:p w:rsidR="00EF6ACB" w:rsidRPr="004F03AF" w:rsidRDefault="004010C7"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Sharon Bergquist</w:t>
            </w:r>
          </w:p>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tc>
        <w:tc>
          <w:tcPr>
            <w:tcW w:w="1440" w:type="dxa"/>
          </w:tcPr>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University of Belfast</w:t>
            </w:r>
          </w:p>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 xml:space="preserve">Yun </w:t>
            </w:r>
            <w:proofErr w:type="spellStart"/>
            <w:r w:rsidRPr="004F03AF">
              <w:rPr>
                <w:rFonts w:asciiTheme="minorHAnsi" w:hAnsiTheme="minorHAnsi" w:cstheme="minorHAnsi"/>
                <w:color w:val="1F497D" w:themeColor="text2"/>
                <w:sz w:val="20"/>
                <w:szCs w:val="20"/>
              </w:rPr>
              <w:t>Yun</w:t>
            </w:r>
            <w:proofErr w:type="spellEnd"/>
            <w:r w:rsidRPr="004F03AF">
              <w:rPr>
                <w:rFonts w:asciiTheme="minorHAnsi" w:hAnsiTheme="minorHAnsi" w:cstheme="minorHAnsi"/>
                <w:color w:val="1F497D" w:themeColor="text2"/>
                <w:sz w:val="20"/>
                <w:szCs w:val="20"/>
              </w:rPr>
              <w:t xml:space="preserve"> Gong </w:t>
            </w:r>
          </w:p>
        </w:tc>
        <w:tc>
          <w:tcPr>
            <w:tcW w:w="3060" w:type="dxa"/>
          </w:tcPr>
          <w:p w:rsidR="00EF6ACB" w:rsidRPr="004F03AF" w:rsidRDefault="00EF6ACB" w:rsidP="00E9413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OCSectionsChar"/>
                <w:rFonts w:asciiTheme="minorHAnsi" w:hAnsiTheme="minorHAnsi" w:cstheme="minorHAnsi"/>
                <w:color w:val="1F497D" w:themeColor="text2"/>
                <w:sz w:val="20"/>
                <w:szCs w:val="20"/>
              </w:rPr>
            </w:pPr>
            <w:r w:rsidRPr="004F03AF">
              <w:rPr>
                <w:rStyle w:val="TOCSectionsChar"/>
                <w:rFonts w:asciiTheme="minorHAnsi" w:hAnsiTheme="minorHAnsi" w:cstheme="minorHAnsi"/>
                <w:color w:val="1F497D" w:themeColor="text2"/>
                <w:sz w:val="20"/>
                <w:szCs w:val="20"/>
              </w:rPr>
              <w:t>To id</w:t>
            </w:r>
            <w:r w:rsidR="00624E2D">
              <w:rPr>
                <w:rStyle w:val="TOCSectionsChar"/>
                <w:rFonts w:asciiTheme="minorHAnsi" w:hAnsiTheme="minorHAnsi" w:cstheme="minorHAnsi"/>
                <w:color w:val="1F497D" w:themeColor="text2"/>
                <w:sz w:val="20"/>
                <w:szCs w:val="20"/>
              </w:rPr>
              <w:t>entify the mechanism by which aflatoxin</w:t>
            </w:r>
            <w:r w:rsidRPr="004F03AF">
              <w:rPr>
                <w:rStyle w:val="TOCSectionsChar"/>
                <w:rFonts w:asciiTheme="minorHAnsi" w:hAnsiTheme="minorHAnsi" w:cstheme="minorHAnsi"/>
                <w:color w:val="1F497D" w:themeColor="text2"/>
                <w:sz w:val="20"/>
                <w:szCs w:val="20"/>
              </w:rPr>
              <w:t xml:space="preserve"> exposure causes child stunting in the first two years after birth, identify biomarkers and demonstrate their relevance to an intervention study to improve child growth outcomes.</w:t>
            </w:r>
          </w:p>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tc>
        <w:tc>
          <w:tcPr>
            <w:tcW w:w="1260" w:type="dxa"/>
          </w:tcPr>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Gambia, UK, France, US</w:t>
            </w:r>
          </w:p>
        </w:tc>
        <w:tc>
          <w:tcPr>
            <w:tcW w:w="1350" w:type="dxa"/>
          </w:tcPr>
          <w:p w:rsidR="00EF6ACB" w:rsidRPr="004F03AF" w:rsidRDefault="00EF6ACB" w:rsidP="004010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4/22/2013- </w:t>
            </w:r>
            <w:r w:rsidR="004010C7">
              <w:rPr>
                <w:rFonts w:asciiTheme="minorHAnsi" w:hAnsiTheme="minorHAnsi" w:cstheme="minorHAnsi"/>
                <w:color w:val="1F497D" w:themeColor="text2"/>
                <w:sz w:val="20"/>
                <w:szCs w:val="20"/>
              </w:rPr>
              <w:t>12/31/2016</w:t>
            </w:r>
          </w:p>
        </w:tc>
        <w:tc>
          <w:tcPr>
            <w:tcW w:w="1170" w:type="dxa"/>
          </w:tcPr>
          <w:p w:rsidR="00EF6ACB" w:rsidRPr="00B2703D"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B2703D">
              <w:rPr>
                <w:rFonts w:asciiTheme="minorHAnsi" w:hAnsiTheme="minorHAnsi" w:cstheme="minorHAnsi"/>
                <w:color w:val="1F497D" w:themeColor="text2"/>
                <w:sz w:val="20"/>
                <w:szCs w:val="20"/>
              </w:rPr>
              <w:t>Health Impact</w:t>
            </w:r>
          </w:p>
        </w:tc>
      </w:tr>
      <w:tr w:rsidR="00EF6ACB" w:rsidRPr="004F03AF" w:rsidTr="000E5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EF6ACB" w:rsidRPr="004F03AF" w:rsidRDefault="00083421" w:rsidP="008030B7">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2</w:t>
            </w:r>
          </w:p>
        </w:tc>
        <w:tc>
          <w:tcPr>
            <w:tcW w:w="1530" w:type="dxa"/>
          </w:tcPr>
          <w:p w:rsidR="00EF6ACB"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EDD</w:t>
            </w:r>
          </w:p>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OPP1066253</w:t>
            </w:r>
          </w:p>
        </w:tc>
        <w:tc>
          <w:tcPr>
            <w:tcW w:w="1800" w:type="dxa"/>
          </w:tcPr>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$750,000</w:t>
            </w:r>
          </w:p>
        </w:tc>
        <w:tc>
          <w:tcPr>
            <w:tcW w:w="1890" w:type="dxa"/>
          </w:tcPr>
          <w:p w:rsidR="00EF6ACB" w:rsidRPr="004F03AF" w:rsidRDefault="00EF6ACB" w:rsidP="00E94135">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Association of aflatoxin exposure and childhood stunting in Bangladesh</w:t>
            </w:r>
          </w:p>
          <w:p w:rsidR="00EF6ACB" w:rsidRPr="004F03AF" w:rsidRDefault="00EF6ACB" w:rsidP="00E94135">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
        </w:tc>
        <w:tc>
          <w:tcPr>
            <w:tcW w:w="1350" w:type="dxa"/>
          </w:tcPr>
          <w:p w:rsidR="00EF6ACB" w:rsidRPr="004F03AF" w:rsidRDefault="0043103E"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Florencia Vasta</w:t>
            </w:r>
          </w:p>
        </w:tc>
        <w:tc>
          <w:tcPr>
            <w:tcW w:w="1440" w:type="dxa"/>
          </w:tcPr>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bCs/>
                <w:color w:val="1F497D" w:themeColor="text2"/>
                <w:kern w:val="24"/>
                <w:sz w:val="20"/>
                <w:szCs w:val="20"/>
              </w:rPr>
              <w:t>International Centre for Diarrheal Disease Research, Bangladesh (ICDDR, B)</w:t>
            </w:r>
          </w:p>
        </w:tc>
        <w:tc>
          <w:tcPr>
            <w:tcW w:w="3060" w:type="dxa"/>
          </w:tcPr>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Style w:val="TOCSectionsChar"/>
                <w:rFonts w:asciiTheme="minorHAnsi" w:eastAsiaTheme="minorEastAsia" w:hAnsiTheme="minorHAnsi" w:cstheme="minorHAnsi"/>
                <w:color w:val="1F497D" w:themeColor="text2"/>
                <w:sz w:val="20"/>
                <w:szCs w:val="20"/>
              </w:rPr>
            </w:pPr>
            <w:r w:rsidRPr="004F03AF">
              <w:rPr>
                <w:rStyle w:val="TOCSectionsChar"/>
                <w:rFonts w:asciiTheme="minorHAnsi" w:eastAsiaTheme="minorEastAsia" w:hAnsiTheme="minorHAnsi" w:cstheme="minorHAnsi"/>
                <w:color w:val="1F497D" w:themeColor="text2"/>
                <w:sz w:val="20"/>
                <w:szCs w:val="20"/>
              </w:rPr>
              <w:t>To improve scientific and public health understanding of aflatoxin as a potential food toxicant to guide better understanding of its deleterious effect on the linear growth of under 5 children and to develop better preventive options</w:t>
            </w:r>
          </w:p>
        </w:tc>
        <w:tc>
          <w:tcPr>
            <w:tcW w:w="1260" w:type="dxa"/>
          </w:tcPr>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 xml:space="preserve">Bangladesh, </w:t>
            </w:r>
            <w:r>
              <w:rPr>
                <w:rFonts w:asciiTheme="minorHAnsi" w:hAnsiTheme="minorHAnsi" w:cstheme="minorHAnsi"/>
                <w:color w:val="1F497D" w:themeColor="text2"/>
                <w:sz w:val="20"/>
                <w:szCs w:val="20"/>
              </w:rPr>
              <w:t>South Africa</w:t>
            </w:r>
          </w:p>
        </w:tc>
        <w:tc>
          <w:tcPr>
            <w:tcW w:w="1350" w:type="dxa"/>
          </w:tcPr>
          <w:p w:rsidR="00EF6ACB" w:rsidRPr="004F03AF" w:rsidRDefault="00EF6ACB" w:rsidP="00624E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11/5/2012- </w:t>
            </w:r>
            <w:r w:rsidR="00582FD4">
              <w:rPr>
                <w:rFonts w:asciiTheme="minorHAnsi" w:hAnsiTheme="minorHAnsi" w:cstheme="minorHAnsi"/>
                <w:color w:val="1F497D" w:themeColor="text2"/>
                <w:sz w:val="20"/>
                <w:szCs w:val="20"/>
              </w:rPr>
              <w:t>6/30/2017</w:t>
            </w:r>
          </w:p>
        </w:tc>
        <w:tc>
          <w:tcPr>
            <w:tcW w:w="1170" w:type="dxa"/>
          </w:tcPr>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Health Impact</w:t>
            </w:r>
          </w:p>
        </w:tc>
      </w:tr>
      <w:tr w:rsidR="000E5AEC" w:rsidRPr="004F03AF" w:rsidTr="000E5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EF6ACB" w:rsidRPr="004F03AF" w:rsidRDefault="00083421" w:rsidP="008030B7">
            <w:pPr>
              <w:jc w:val="center"/>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3</w:t>
            </w:r>
          </w:p>
        </w:tc>
        <w:tc>
          <w:tcPr>
            <w:tcW w:w="1530" w:type="dxa"/>
          </w:tcPr>
          <w:p w:rsidR="00EF6ACB"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EDD</w:t>
            </w:r>
          </w:p>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OPP1066247</w:t>
            </w:r>
          </w:p>
        </w:tc>
        <w:tc>
          <w:tcPr>
            <w:tcW w:w="1800" w:type="dxa"/>
          </w:tcPr>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$750,000</w:t>
            </w:r>
          </w:p>
        </w:tc>
        <w:tc>
          <w:tcPr>
            <w:tcW w:w="1890" w:type="dxa"/>
          </w:tcPr>
          <w:p w:rsidR="00EF6ACB" w:rsidRPr="004F03AF" w:rsidRDefault="00EF6ACB" w:rsidP="00E9413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iCs/>
                <w:color w:val="1F497D" w:themeColor="text2"/>
                <w:sz w:val="20"/>
                <w:szCs w:val="20"/>
              </w:rPr>
              <w:t>Mycotoxins as a risk factor in childhood growth impairment worldwide.</w:t>
            </w:r>
          </w:p>
          <w:p w:rsidR="00EF6ACB" w:rsidRPr="004F03AF" w:rsidRDefault="00EF6ACB" w:rsidP="00E9413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tc>
        <w:tc>
          <w:tcPr>
            <w:tcW w:w="1350" w:type="dxa"/>
          </w:tcPr>
          <w:p w:rsidR="00EF6ACB" w:rsidRPr="004F03AF" w:rsidRDefault="0043103E"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Florencia Vasta</w:t>
            </w:r>
          </w:p>
        </w:tc>
        <w:tc>
          <w:tcPr>
            <w:tcW w:w="1440" w:type="dxa"/>
          </w:tcPr>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1F497D" w:themeColor="text2"/>
                <w:kern w:val="24"/>
                <w:sz w:val="20"/>
                <w:szCs w:val="20"/>
              </w:rPr>
            </w:pPr>
            <w:r>
              <w:rPr>
                <w:rFonts w:asciiTheme="minorHAnsi" w:hAnsiTheme="minorHAnsi" w:cstheme="minorHAnsi"/>
                <w:bCs/>
                <w:color w:val="1F497D" w:themeColor="text2"/>
                <w:kern w:val="24"/>
                <w:sz w:val="20"/>
                <w:szCs w:val="20"/>
              </w:rPr>
              <w:t>Michigan State University</w:t>
            </w:r>
          </w:p>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1F497D" w:themeColor="text2"/>
                <w:kern w:val="24"/>
                <w:sz w:val="20"/>
                <w:szCs w:val="20"/>
              </w:rPr>
            </w:pPr>
            <w:r w:rsidRPr="004F03AF">
              <w:rPr>
                <w:rFonts w:asciiTheme="minorHAnsi" w:hAnsiTheme="minorHAnsi" w:cstheme="minorHAnsi"/>
                <w:bCs/>
                <w:color w:val="1F497D" w:themeColor="text2"/>
                <w:kern w:val="24"/>
                <w:sz w:val="20"/>
                <w:szCs w:val="20"/>
              </w:rPr>
              <w:t>Felicia Wu</w:t>
            </w:r>
          </w:p>
        </w:tc>
        <w:tc>
          <w:tcPr>
            <w:tcW w:w="3060" w:type="dxa"/>
          </w:tcPr>
          <w:p w:rsidR="00EF6ACB" w:rsidRPr="004F03AF" w:rsidRDefault="00EF6ACB" w:rsidP="00E94135">
            <w:pPr>
              <w:contextualSpacing/>
              <w:cnfStyle w:val="000000100000" w:firstRow="0" w:lastRow="0" w:firstColumn="0" w:lastColumn="0" w:oddVBand="0" w:evenVBand="0" w:oddHBand="1" w:evenHBand="0" w:firstRowFirstColumn="0" w:firstRowLastColumn="0" w:lastRowFirstColumn="0" w:lastRowLastColumn="0"/>
              <w:rPr>
                <w:rStyle w:val="TOCSectionsChar"/>
                <w:rFonts w:asciiTheme="minorHAnsi" w:eastAsiaTheme="minorEastAsia" w:hAnsiTheme="minorHAnsi" w:cstheme="minorHAnsi"/>
                <w:color w:val="1F497D" w:themeColor="text2"/>
                <w:sz w:val="20"/>
                <w:szCs w:val="20"/>
              </w:rPr>
            </w:pPr>
            <w:r w:rsidRPr="004F03AF">
              <w:rPr>
                <w:rFonts w:asciiTheme="minorHAnsi" w:hAnsiTheme="minorHAnsi" w:cstheme="minorHAnsi"/>
                <w:color w:val="1F497D" w:themeColor="text2"/>
                <w:sz w:val="20"/>
                <w:szCs w:val="20"/>
              </w:rPr>
              <w:t>To undertake an integrated approach – toxicology, immunology, exposure, epidemiology, and risk assessment to explore the most critical questions concerning the role of dietary mycotoxins in child growth impairment.</w:t>
            </w:r>
          </w:p>
        </w:tc>
        <w:tc>
          <w:tcPr>
            <w:tcW w:w="1260" w:type="dxa"/>
          </w:tcPr>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Tanzania, Nepal</w:t>
            </w:r>
          </w:p>
        </w:tc>
        <w:tc>
          <w:tcPr>
            <w:tcW w:w="1350" w:type="dxa"/>
          </w:tcPr>
          <w:p w:rsidR="00EF6ACB" w:rsidRPr="004F03AF" w:rsidRDefault="00EF6ACB" w:rsidP="00624E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10/30/2012- </w:t>
            </w:r>
            <w:r w:rsidR="00582FD4">
              <w:rPr>
                <w:rFonts w:asciiTheme="minorHAnsi" w:hAnsiTheme="minorHAnsi" w:cstheme="minorHAnsi"/>
                <w:color w:val="1F497D" w:themeColor="text2"/>
                <w:sz w:val="20"/>
                <w:szCs w:val="20"/>
              </w:rPr>
              <w:t>12/31/2016</w:t>
            </w:r>
          </w:p>
        </w:tc>
        <w:tc>
          <w:tcPr>
            <w:tcW w:w="1170" w:type="dxa"/>
          </w:tcPr>
          <w:p w:rsidR="00EF6ACB" w:rsidRPr="004F03AF" w:rsidRDefault="00EF6ACB" w:rsidP="00E94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Health Impact</w:t>
            </w:r>
          </w:p>
        </w:tc>
      </w:tr>
      <w:tr w:rsidR="00EF6ACB" w:rsidRPr="004F03AF" w:rsidTr="000E5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EF6ACB" w:rsidRPr="004F03AF" w:rsidRDefault="00083421" w:rsidP="008030B7">
            <w:pPr>
              <w:jc w:val="center"/>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4</w:t>
            </w:r>
          </w:p>
        </w:tc>
        <w:tc>
          <w:tcPr>
            <w:tcW w:w="1530" w:type="dxa"/>
          </w:tcPr>
          <w:p w:rsidR="00EF6ACB"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EDD</w:t>
            </w:r>
          </w:p>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OPP1066254</w:t>
            </w:r>
          </w:p>
        </w:tc>
        <w:tc>
          <w:tcPr>
            <w:tcW w:w="1800" w:type="dxa"/>
          </w:tcPr>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w:t>
            </w:r>
            <w:r w:rsidRPr="004F03AF">
              <w:rPr>
                <w:rFonts w:asciiTheme="minorHAnsi" w:hAnsiTheme="minorHAnsi" w:cstheme="minorHAnsi"/>
                <w:bCs/>
                <w:color w:val="1F497D" w:themeColor="text2"/>
                <w:sz w:val="20"/>
                <w:szCs w:val="20"/>
              </w:rPr>
              <w:t>744,248</w:t>
            </w:r>
          </w:p>
        </w:tc>
        <w:tc>
          <w:tcPr>
            <w:tcW w:w="1890" w:type="dxa"/>
          </w:tcPr>
          <w:p w:rsidR="00EF6ACB" w:rsidRPr="004F03AF" w:rsidRDefault="00EF6ACB" w:rsidP="00E94135">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iCs/>
                <w:color w:val="1F497D" w:themeColor="text2"/>
                <w:sz w:val="20"/>
                <w:szCs w:val="20"/>
              </w:rPr>
              <w:t>Assessing aflatoxin exposure and malnutrition among children in East Africa</w:t>
            </w:r>
          </w:p>
        </w:tc>
        <w:tc>
          <w:tcPr>
            <w:tcW w:w="1350" w:type="dxa"/>
          </w:tcPr>
          <w:p w:rsidR="00EF6ACB" w:rsidRPr="004F03AF" w:rsidRDefault="0043103E"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Florencia Vasta</w:t>
            </w:r>
          </w:p>
        </w:tc>
        <w:tc>
          <w:tcPr>
            <w:tcW w:w="1440" w:type="dxa"/>
          </w:tcPr>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1F497D" w:themeColor="text2"/>
                <w:kern w:val="24"/>
                <w:sz w:val="20"/>
                <w:szCs w:val="20"/>
              </w:rPr>
            </w:pPr>
            <w:r w:rsidRPr="004F03AF">
              <w:rPr>
                <w:rFonts w:asciiTheme="minorHAnsi" w:hAnsiTheme="minorHAnsi" w:cstheme="minorHAnsi"/>
                <w:bCs/>
                <w:color w:val="1F497D" w:themeColor="text2"/>
                <w:kern w:val="24"/>
                <w:sz w:val="20"/>
                <w:szCs w:val="20"/>
              </w:rPr>
              <w:t>Cornell</w:t>
            </w:r>
          </w:p>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1F497D" w:themeColor="text2"/>
                <w:kern w:val="24"/>
                <w:sz w:val="20"/>
                <w:szCs w:val="20"/>
              </w:rPr>
            </w:pPr>
            <w:r w:rsidRPr="004F03AF">
              <w:rPr>
                <w:rFonts w:asciiTheme="minorHAnsi" w:hAnsiTheme="minorHAnsi" w:cstheme="minorHAnsi"/>
                <w:bCs/>
                <w:color w:val="1F497D" w:themeColor="text2"/>
                <w:kern w:val="24"/>
                <w:sz w:val="20"/>
                <w:szCs w:val="20"/>
              </w:rPr>
              <w:t>Becky Stoltzfus</w:t>
            </w:r>
          </w:p>
        </w:tc>
        <w:tc>
          <w:tcPr>
            <w:tcW w:w="3060" w:type="dxa"/>
          </w:tcPr>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Assess the role of mycotoxins in the pathogenesis of toxin-induced gut dysfunction and subsequent child stunting</w:t>
            </w:r>
          </w:p>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Style w:val="TOCSectionsChar"/>
                <w:rFonts w:asciiTheme="minorHAnsi" w:eastAsiaTheme="minorEastAsia" w:hAnsiTheme="minorHAnsi" w:cstheme="minorHAnsi"/>
                <w:color w:val="1F497D" w:themeColor="text2"/>
                <w:sz w:val="20"/>
                <w:szCs w:val="20"/>
              </w:rPr>
            </w:pPr>
          </w:p>
        </w:tc>
        <w:tc>
          <w:tcPr>
            <w:tcW w:w="1260" w:type="dxa"/>
          </w:tcPr>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Zimbabwe</w:t>
            </w:r>
          </w:p>
        </w:tc>
        <w:tc>
          <w:tcPr>
            <w:tcW w:w="1350" w:type="dxa"/>
          </w:tcPr>
          <w:p w:rsidR="00EF6ACB" w:rsidRPr="004F03AF" w:rsidRDefault="00582FD4"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11/12/2012- 12/31/2017</w:t>
            </w:r>
          </w:p>
        </w:tc>
        <w:tc>
          <w:tcPr>
            <w:tcW w:w="1170" w:type="dxa"/>
          </w:tcPr>
          <w:p w:rsidR="00EF6ACB" w:rsidRPr="004F03AF" w:rsidRDefault="00EF6ACB" w:rsidP="00E9413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Health Impact</w:t>
            </w:r>
          </w:p>
        </w:tc>
      </w:tr>
    </w:tbl>
    <w:p w:rsidR="00083A8D" w:rsidRDefault="00083A8D" w:rsidP="00083A8D">
      <w:pPr>
        <w:pStyle w:val="ListParagraph"/>
        <w:rPr>
          <w:color w:val="1F497D"/>
          <w:sz w:val="20"/>
          <w:szCs w:val="20"/>
        </w:rPr>
      </w:pPr>
    </w:p>
    <w:p w:rsidR="00185E2A" w:rsidRDefault="00185E2A" w:rsidP="00083A8D">
      <w:pPr>
        <w:pStyle w:val="ListParagraph"/>
        <w:rPr>
          <w:color w:val="1F497D"/>
          <w:sz w:val="20"/>
          <w:szCs w:val="20"/>
        </w:rPr>
      </w:pPr>
    </w:p>
    <w:p w:rsidR="008B4A66" w:rsidRDefault="008B4A66" w:rsidP="00083A8D">
      <w:pPr>
        <w:pStyle w:val="ListParagraph"/>
        <w:rPr>
          <w:color w:val="1F497D"/>
          <w:sz w:val="20"/>
          <w:szCs w:val="20"/>
        </w:rPr>
      </w:pPr>
    </w:p>
    <w:p w:rsidR="008B4A66" w:rsidRPr="00FA1D6B" w:rsidRDefault="008B4A66" w:rsidP="00FA1D6B">
      <w:pPr>
        <w:rPr>
          <w:color w:val="1F497D"/>
          <w:sz w:val="20"/>
          <w:szCs w:val="20"/>
        </w:rPr>
      </w:pPr>
    </w:p>
    <w:p w:rsidR="002A748E" w:rsidRDefault="002A748E" w:rsidP="002A748E">
      <w:pPr>
        <w:pStyle w:val="Header"/>
        <w:rPr>
          <w:color w:val="1F497D" w:themeColor="text2"/>
          <w:sz w:val="32"/>
          <w:szCs w:val="32"/>
        </w:rPr>
      </w:pPr>
      <w:r>
        <w:rPr>
          <w:color w:val="1F497D" w:themeColor="text2"/>
          <w:sz w:val="32"/>
          <w:szCs w:val="32"/>
        </w:rPr>
        <w:lastRenderedPageBreak/>
        <w:t>Closed</w:t>
      </w:r>
      <w:r w:rsidRPr="002A748E">
        <w:rPr>
          <w:color w:val="1F497D" w:themeColor="text2"/>
          <w:sz w:val="32"/>
          <w:szCs w:val="32"/>
        </w:rPr>
        <w:t xml:space="preserve"> BMGF </w:t>
      </w:r>
      <w:r w:rsidR="002B1D91">
        <w:rPr>
          <w:color w:val="1F497D" w:themeColor="text2"/>
          <w:sz w:val="32"/>
          <w:szCs w:val="32"/>
        </w:rPr>
        <w:t xml:space="preserve">Mycotoxin </w:t>
      </w:r>
      <w:r w:rsidRPr="002A748E">
        <w:rPr>
          <w:color w:val="1F497D" w:themeColor="text2"/>
          <w:sz w:val="32"/>
          <w:szCs w:val="32"/>
        </w:rPr>
        <w:t xml:space="preserve">Grants </w:t>
      </w:r>
    </w:p>
    <w:p w:rsidR="002A748E" w:rsidRDefault="006B2E89" w:rsidP="002A748E">
      <w:pPr>
        <w:pStyle w:val="Header"/>
        <w:rPr>
          <w:color w:val="1F497D" w:themeColor="text2"/>
        </w:rPr>
      </w:pPr>
      <w:r>
        <w:rPr>
          <w:color w:val="1F497D" w:themeColor="text2"/>
        </w:rPr>
        <w:t>As of November</w:t>
      </w:r>
      <w:r w:rsidR="007E2E7C">
        <w:rPr>
          <w:color w:val="1F497D" w:themeColor="text2"/>
        </w:rPr>
        <w:t xml:space="preserve"> 2016</w:t>
      </w:r>
    </w:p>
    <w:p w:rsidR="002A748E" w:rsidRDefault="002A748E" w:rsidP="002A748E">
      <w:pPr>
        <w:pStyle w:val="Header"/>
        <w:rPr>
          <w:color w:val="1F497D" w:themeColor="text2"/>
        </w:rPr>
      </w:pPr>
    </w:p>
    <w:p w:rsidR="002A748E" w:rsidRPr="002A748E" w:rsidRDefault="002A748E" w:rsidP="002A748E">
      <w:pPr>
        <w:pStyle w:val="Header"/>
        <w:jc w:val="center"/>
        <w:rPr>
          <w:b/>
          <w:color w:val="8064A2" w:themeColor="accent4"/>
          <w:sz w:val="28"/>
          <w:szCs w:val="28"/>
        </w:rPr>
      </w:pPr>
      <w:r w:rsidRPr="002A748E">
        <w:rPr>
          <w:b/>
          <w:color w:val="8064A2" w:themeColor="accent4"/>
          <w:sz w:val="28"/>
          <w:szCs w:val="28"/>
        </w:rPr>
        <w:t>All Categories</w:t>
      </w:r>
    </w:p>
    <w:p w:rsidR="00EF6ACB" w:rsidRPr="002A748E" w:rsidRDefault="00EF6ACB" w:rsidP="002A748E">
      <w:pPr>
        <w:rPr>
          <w:color w:val="1F497D"/>
          <w:sz w:val="20"/>
          <w:szCs w:val="20"/>
        </w:rPr>
      </w:pPr>
    </w:p>
    <w:tbl>
      <w:tblPr>
        <w:tblStyle w:val="LightGrid-Accent4"/>
        <w:tblW w:w="15300" w:type="dxa"/>
        <w:tblInd w:w="-1062" w:type="dxa"/>
        <w:tblLayout w:type="fixed"/>
        <w:tblLook w:val="04A0" w:firstRow="1" w:lastRow="0" w:firstColumn="1" w:lastColumn="0" w:noHBand="0" w:noVBand="1"/>
      </w:tblPr>
      <w:tblGrid>
        <w:gridCol w:w="450"/>
        <w:gridCol w:w="1530"/>
        <w:gridCol w:w="1800"/>
        <w:gridCol w:w="1890"/>
        <w:gridCol w:w="1350"/>
        <w:gridCol w:w="1440"/>
        <w:gridCol w:w="3060"/>
        <w:gridCol w:w="1260"/>
        <w:gridCol w:w="1350"/>
        <w:gridCol w:w="1170"/>
      </w:tblGrid>
      <w:tr w:rsidR="000E5AEC" w:rsidRPr="004F03AF" w:rsidTr="000E5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EF6ACB" w:rsidRPr="004F03AF" w:rsidRDefault="00EF6ACB" w:rsidP="00E94135">
            <w:pPr>
              <w:jc w:val="center"/>
              <w:rPr>
                <w:rFonts w:asciiTheme="minorHAnsi" w:hAnsiTheme="minorHAnsi" w:cstheme="minorHAnsi"/>
                <w:b w:val="0"/>
                <w:color w:val="1F497D" w:themeColor="text2"/>
                <w:kern w:val="24"/>
                <w:sz w:val="20"/>
                <w:szCs w:val="20"/>
              </w:rPr>
            </w:pPr>
          </w:p>
        </w:tc>
        <w:tc>
          <w:tcPr>
            <w:tcW w:w="1530" w:type="dxa"/>
          </w:tcPr>
          <w:p w:rsidR="00EF6ACB" w:rsidRPr="004F03AF" w:rsidRDefault="00EF6ACB" w:rsidP="00E9413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1F497D"/>
                <w:sz w:val="20"/>
                <w:szCs w:val="20"/>
              </w:rPr>
            </w:pPr>
            <w:r w:rsidRPr="004F03AF">
              <w:rPr>
                <w:rFonts w:asciiTheme="minorHAnsi" w:hAnsiTheme="minorHAnsi" w:cstheme="minorHAnsi"/>
                <w:color w:val="1F497D" w:themeColor="text2"/>
                <w:kern w:val="24"/>
                <w:sz w:val="20"/>
                <w:szCs w:val="20"/>
              </w:rPr>
              <w:t xml:space="preserve">Team  </w:t>
            </w:r>
          </w:p>
        </w:tc>
        <w:tc>
          <w:tcPr>
            <w:tcW w:w="1800" w:type="dxa"/>
          </w:tcPr>
          <w:p w:rsidR="00EF6ACB" w:rsidRPr="004F03AF" w:rsidRDefault="00EF6ACB" w:rsidP="00E94135">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Amount</w:t>
            </w:r>
          </w:p>
        </w:tc>
        <w:tc>
          <w:tcPr>
            <w:tcW w:w="1890" w:type="dxa"/>
          </w:tcPr>
          <w:p w:rsidR="00EF6ACB" w:rsidRPr="004F03AF" w:rsidRDefault="00EF6ACB" w:rsidP="00E94135">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Title</w:t>
            </w:r>
          </w:p>
        </w:tc>
        <w:tc>
          <w:tcPr>
            <w:tcW w:w="1350" w:type="dxa"/>
          </w:tcPr>
          <w:p w:rsidR="00EF6ACB" w:rsidRPr="004F03AF" w:rsidRDefault="00EF6ACB" w:rsidP="00E94135">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PO</w:t>
            </w:r>
          </w:p>
        </w:tc>
        <w:tc>
          <w:tcPr>
            <w:tcW w:w="1440" w:type="dxa"/>
          </w:tcPr>
          <w:p w:rsidR="00EF6ACB" w:rsidRPr="004F03AF" w:rsidRDefault="00EF6ACB" w:rsidP="00E94135">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Grantee</w:t>
            </w:r>
          </w:p>
        </w:tc>
        <w:tc>
          <w:tcPr>
            <w:tcW w:w="3060" w:type="dxa"/>
          </w:tcPr>
          <w:p w:rsidR="00EF6ACB" w:rsidRPr="004F03AF" w:rsidRDefault="00EF6ACB" w:rsidP="00E94135">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Description</w:t>
            </w:r>
          </w:p>
        </w:tc>
        <w:tc>
          <w:tcPr>
            <w:tcW w:w="1260" w:type="dxa"/>
          </w:tcPr>
          <w:p w:rsidR="00EF6ACB" w:rsidRPr="004F03AF" w:rsidRDefault="00EF6ACB" w:rsidP="00E94135">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Geography</w:t>
            </w:r>
          </w:p>
        </w:tc>
        <w:tc>
          <w:tcPr>
            <w:tcW w:w="1350" w:type="dxa"/>
          </w:tcPr>
          <w:p w:rsidR="00EF6ACB" w:rsidRPr="004F03AF" w:rsidRDefault="00EF6ACB" w:rsidP="00E94135">
            <w:pPr>
              <w:cnfStyle w:val="100000000000" w:firstRow="1" w:lastRow="0" w:firstColumn="0" w:lastColumn="0" w:oddVBand="0" w:evenVBand="0" w:oddHBand="0" w:evenHBand="0" w:firstRowFirstColumn="0" w:firstRowLastColumn="0" w:lastRowFirstColumn="0" w:lastRowLastColumn="0"/>
              <w:rPr>
                <w:b w:val="0"/>
                <w:bCs w:val="0"/>
                <w:color w:val="1F497D"/>
                <w:sz w:val="20"/>
                <w:szCs w:val="20"/>
              </w:rPr>
            </w:pPr>
            <w:r w:rsidRPr="004F03AF">
              <w:rPr>
                <w:color w:val="1F497D"/>
                <w:sz w:val="20"/>
                <w:szCs w:val="20"/>
              </w:rPr>
              <w:t>Duration</w:t>
            </w:r>
          </w:p>
        </w:tc>
        <w:tc>
          <w:tcPr>
            <w:tcW w:w="1170" w:type="dxa"/>
          </w:tcPr>
          <w:p w:rsidR="00EF6ACB" w:rsidRPr="004F03AF" w:rsidRDefault="00EF6ACB" w:rsidP="00E94135">
            <w:pPr>
              <w:cnfStyle w:val="100000000000" w:firstRow="1" w:lastRow="0" w:firstColumn="0" w:lastColumn="0" w:oddVBand="0" w:evenVBand="0" w:oddHBand="0" w:evenHBand="0" w:firstRowFirstColumn="0" w:firstRowLastColumn="0" w:lastRowFirstColumn="0" w:lastRowLastColumn="0"/>
              <w:rPr>
                <w:color w:val="1F497D"/>
                <w:sz w:val="20"/>
                <w:szCs w:val="20"/>
              </w:rPr>
            </w:pPr>
            <w:r w:rsidRPr="004F03AF">
              <w:rPr>
                <w:color w:val="1F497D"/>
                <w:sz w:val="20"/>
                <w:szCs w:val="20"/>
              </w:rPr>
              <w:t>Type</w:t>
            </w:r>
          </w:p>
        </w:tc>
      </w:tr>
      <w:tr w:rsidR="006B2E89" w:rsidRPr="004F03AF" w:rsidTr="000E5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B2E89" w:rsidRDefault="006B2E89" w:rsidP="006B2E89">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br/>
              <w:t>1</w:t>
            </w:r>
          </w:p>
        </w:tc>
        <w:tc>
          <w:tcPr>
            <w:tcW w:w="1530" w:type="dxa"/>
          </w:tcPr>
          <w:p w:rsidR="006B2E89" w:rsidRPr="00185E2A"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185E2A">
              <w:rPr>
                <w:rFonts w:asciiTheme="minorHAnsi" w:hAnsiTheme="minorHAnsi" w:cstheme="minorHAnsi"/>
                <w:color w:val="1F497D" w:themeColor="text2"/>
                <w:sz w:val="20"/>
                <w:szCs w:val="20"/>
              </w:rPr>
              <w:t>Agriculture</w:t>
            </w:r>
          </w:p>
          <w:p w:rsidR="006B2E89" w:rsidRPr="00185E2A"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185E2A">
              <w:rPr>
                <w:rFonts w:asciiTheme="minorHAnsi" w:hAnsiTheme="minorHAnsi" w:cstheme="minorHAnsi"/>
                <w:color w:val="1F497D" w:themeColor="text2"/>
                <w:sz w:val="20"/>
                <w:szCs w:val="20"/>
              </w:rPr>
              <w:t>OPP51892</w:t>
            </w:r>
          </w:p>
        </w:tc>
        <w:tc>
          <w:tcPr>
            <w:tcW w:w="1800" w:type="dxa"/>
          </w:tcPr>
          <w:p w:rsidR="006B2E89" w:rsidRPr="00185E2A"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185E2A">
              <w:rPr>
                <w:rFonts w:asciiTheme="minorHAnsi" w:hAnsiTheme="minorHAnsi" w:cstheme="minorHAnsi"/>
                <w:bCs/>
                <w:iCs/>
                <w:color w:val="1F497D" w:themeColor="text2"/>
                <w:sz w:val="20"/>
                <w:szCs w:val="20"/>
              </w:rPr>
              <w:t>$</w:t>
            </w:r>
            <w:r w:rsidRPr="00185E2A">
              <w:rPr>
                <w:rFonts w:asciiTheme="minorHAnsi" w:hAnsiTheme="minorHAnsi" w:cstheme="minorHAnsi"/>
                <w:color w:val="1F497D" w:themeColor="text2"/>
                <w:sz w:val="20"/>
                <w:szCs w:val="20"/>
              </w:rPr>
              <w:t>2,699,737</w:t>
            </w:r>
          </w:p>
        </w:tc>
        <w:tc>
          <w:tcPr>
            <w:tcW w:w="1890" w:type="dxa"/>
          </w:tcPr>
          <w:p w:rsidR="006B2E89" w:rsidRPr="00185E2A" w:rsidRDefault="006B2E89" w:rsidP="006B2E89">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185E2A">
              <w:rPr>
                <w:rFonts w:asciiTheme="minorHAnsi" w:hAnsiTheme="minorHAnsi" w:cstheme="minorHAnsi"/>
                <w:color w:val="1F497D" w:themeColor="text2"/>
                <w:sz w:val="20"/>
                <w:szCs w:val="20"/>
              </w:rPr>
              <w:t xml:space="preserve">Exploring the Scope of Cost-effective Aflatoxin Risk Reduction Strategies in Maize and Groundnut Value chains </w:t>
            </w:r>
            <w:proofErr w:type="gramStart"/>
            <w:r w:rsidRPr="00185E2A">
              <w:rPr>
                <w:rFonts w:asciiTheme="minorHAnsi" w:hAnsiTheme="minorHAnsi" w:cstheme="minorHAnsi"/>
                <w:color w:val="1F497D" w:themeColor="text2"/>
                <w:sz w:val="20"/>
                <w:szCs w:val="20"/>
              </w:rPr>
              <w:t>so as to</w:t>
            </w:r>
            <w:proofErr w:type="gramEnd"/>
            <w:r w:rsidRPr="00185E2A">
              <w:rPr>
                <w:rFonts w:asciiTheme="minorHAnsi" w:hAnsiTheme="minorHAnsi" w:cstheme="minorHAnsi"/>
                <w:color w:val="1F497D" w:themeColor="text2"/>
                <w:sz w:val="20"/>
                <w:szCs w:val="20"/>
              </w:rPr>
              <w:t xml:space="preserve"> Improve Market Access of the Poor in Africa</w:t>
            </w:r>
          </w:p>
        </w:tc>
        <w:tc>
          <w:tcPr>
            <w:tcW w:w="1350" w:type="dxa"/>
          </w:tcPr>
          <w:p w:rsidR="006B2E89" w:rsidRPr="00185E2A"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185E2A">
              <w:rPr>
                <w:rFonts w:asciiTheme="minorHAnsi" w:hAnsiTheme="minorHAnsi" w:cstheme="minorHAnsi"/>
                <w:color w:val="1F497D" w:themeColor="text2"/>
                <w:sz w:val="20"/>
                <w:szCs w:val="20"/>
              </w:rPr>
              <w:t xml:space="preserve">Diana </w:t>
            </w:r>
            <w:proofErr w:type="spellStart"/>
            <w:r w:rsidRPr="00185E2A">
              <w:rPr>
                <w:rFonts w:asciiTheme="minorHAnsi" w:hAnsiTheme="minorHAnsi" w:cstheme="minorHAnsi"/>
                <w:color w:val="1F497D" w:themeColor="text2"/>
                <w:sz w:val="20"/>
                <w:szCs w:val="20"/>
              </w:rPr>
              <w:t>Grusczynski</w:t>
            </w:r>
            <w:proofErr w:type="spellEnd"/>
          </w:p>
        </w:tc>
        <w:tc>
          <w:tcPr>
            <w:tcW w:w="1440" w:type="dxa"/>
          </w:tcPr>
          <w:p w:rsidR="006B2E89" w:rsidRPr="00185E2A"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185E2A">
              <w:rPr>
                <w:rFonts w:asciiTheme="minorHAnsi" w:hAnsiTheme="minorHAnsi" w:cstheme="minorHAnsi"/>
                <w:color w:val="1F497D" w:themeColor="text2"/>
                <w:sz w:val="20"/>
                <w:szCs w:val="20"/>
              </w:rPr>
              <w:t>IFPRI</w:t>
            </w:r>
          </w:p>
        </w:tc>
        <w:tc>
          <w:tcPr>
            <w:tcW w:w="3060" w:type="dxa"/>
          </w:tcPr>
          <w:p w:rsidR="006B2E89" w:rsidRPr="00185E2A"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185E2A">
              <w:rPr>
                <w:rFonts w:asciiTheme="minorHAnsi" w:hAnsiTheme="minorHAnsi" w:cstheme="minorHAnsi"/>
                <w:color w:val="1F497D" w:themeColor="text2"/>
                <w:sz w:val="20"/>
                <w:szCs w:val="20"/>
              </w:rPr>
              <w:t>To improve health and market access of the poor in Sub Saharan Africa by improving the knowledge of the cost-effectiveness of existing technologies to reduce aflatoxin risk, and understanding what is preventing them from being adopted as control strategies along maize and groundnut value chains.</w:t>
            </w:r>
          </w:p>
        </w:tc>
        <w:tc>
          <w:tcPr>
            <w:tcW w:w="1260" w:type="dxa"/>
          </w:tcPr>
          <w:p w:rsidR="006B2E89" w:rsidRPr="00185E2A"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185E2A">
              <w:rPr>
                <w:rFonts w:asciiTheme="minorHAnsi" w:hAnsiTheme="minorHAnsi" w:cstheme="minorHAnsi"/>
                <w:color w:val="1F497D" w:themeColor="text2"/>
                <w:sz w:val="20"/>
                <w:szCs w:val="20"/>
              </w:rPr>
              <w:t>Kenya, Mali</w:t>
            </w:r>
          </w:p>
        </w:tc>
        <w:tc>
          <w:tcPr>
            <w:tcW w:w="1350" w:type="dxa"/>
          </w:tcPr>
          <w:p w:rsidR="006B2E89" w:rsidRPr="00185E2A"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185E2A">
              <w:rPr>
                <w:rFonts w:asciiTheme="minorHAnsi" w:hAnsiTheme="minorHAnsi" w:cstheme="minorHAnsi"/>
                <w:color w:val="1F497D" w:themeColor="text2"/>
                <w:sz w:val="20"/>
                <w:szCs w:val="20"/>
              </w:rPr>
              <w:t xml:space="preserve">1/1/2009- 1/31/2014 </w:t>
            </w:r>
          </w:p>
        </w:tc>
        <w:tc>
          <w:tcPr>
            <w:tcW w:w="1170" w:type="dxa"/>
          </w:tcPr>
          <w:p w:rsidR="006B2E89"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185E2A">
              <w:rPr>
                <w:rFonts w:asciiTheme="minorHAnsi" w:hAnsiTheme="minorHAnsi" w:cstheme="minorHAnsi"/>
                <w:color w:val="1F497D" w:themeColor="text2"/>
                <w:sz w:val="20"/>
                <w:szCs w:val="20"/>
              </w:rPr>
              <w:t>Control</w:t>
            </w:r>
          </w:p>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6B2E89" w:rsidRPr="004F03AF" w:rsidTr="000E5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B2E89" w:rsidRPr="004F03AF" w:rsidRDefault="006B2E89" w:rsidP="006B2E89">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2</w:t>
            </w:r>
          </w:p>
        </w:tc>
        <w:tc>
          <w:tcPr>
            <w:tcW w:w="1530" w:type="dxa"/>
          </w:tcPr>
          <w:p w:rsidR="006B2E89"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Agriculture</w:t>
            </w:r>
          </w:p>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OPP1007117</w:t>
            </w:r>
          </w:p>
        </w:tc>
        <w:tc>
          <w:tcPr>
            <w:tcW w:w="180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$1,319,661</w:t>
            </w:r>
          </w:p>
        </w:tc>
        <w:tc>
          <w:tcPr>
            <w:tcW w:w="1890" w:type="dxa"/>
          </w:tcPr>
          <w:p w:rsidR="006B2E89" w:rsidRPr="004F03AF" w:rsidRDefault="006B2E89" w:rsidP="006B2E89">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Aflatoxin Contamination Prevention and Control in Grain</w:t>
            </w:r>
          </w:p>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
        </w:tc>
        <w:tc>
          <w:tcPr>
            <w:tcW w:w="135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roofErr w:type="spellStart"/>
            <w:r w:rsidRPr="004F03AF">
              <w:rPr>
                <w:rFonts w:asciiTheme="minorHAnsi" w:hAnsiTheme="minorHAnsi" w:cstheme="minorHAnsi"/>
                <w:color w:val="1F497D" w:themeColor="text2"/>
                <w:sz w:val="20"/>
                <w:szCs w:val="20"/>
              </w:rPr>
              <w:t>Prem</w:t>
            </w:r>
            <w:proofErr w:type="spellEnd"/>
            <w:r w:rsidRPr="004F03AF">
              <w:rPr>
                <w:rFonts w:asciiTheme="minorHAnsi" w:hAnsiTheme="minorHAnsi" w:cstheme="minorHAnsi"/>
                <w:color w:val="1F497D" w:themeColor="text2"/>
                <w:sz w:val="20"/>
                <w:szCs w:val="20"/>
              </w:rPr>
              <w:t xml:space="preserve"> Warrior</w:t>
            </w:r>
            <w:r w:rsidR="00545742">
              <w:rPr>
                <w:rFonts w:asciiTheme="minorHAnsi" w:hAnsiTheme="minorHAnsi" w:cstheme="minorHAnsi"/>
                <w:color w:val="1F497D" w:themeColor="text2"/>
                <w:sz w:val="20"/>
                <w:szCs w:val="20"/>
              </w:rPr>
              <w:t xml:space="preserve"> and Orin Hasson</w:t>
            </w:r>
          </w:p>
        </w:tc>
        <w:tc>
          <w:tcPr>
            <w:tcW w:w="144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International Institute of Tropical Agriculture (IITA)</w:t>
            </w:r>
          </w:p>
        </w:tc>
        <w:tc>
          <w:tcPr>
            <w:tcW w:w="306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Style w:val="TOCSectionsChar"/>
                <w:rFonts w:asciiTheme="minorHAnsi" w:eastAsiaTheme="minorEastAsia" w:hAnsiTheme="minorHAnsi" w:cstheme="minorHAnsi"/>
                <w:color w:val="1F497D" w:themeColor="text2"/>
                <w:sz w:val="20"/>
                <w:szCs w:val="20"/>
              </w:rPr>
              <w:t>Development and commercialization of bio-control aflatoxin management tools to improve public health, increase trade, augment smallholder income, and enhance food security in Nigeria and Kenya.</w:t>
            </w:r>
          </w:p>
        </w:tc>
        <w:tc>
          <w:tcPr>
            <w:tcW w:w="126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Kenya, Nigeria</w:t>
            </w:r>
          </w:p>
        </w:tc>
        <w:tc>
          <w:tcPr>
            <w:tcW w:w="1350" w:type="dxa"/>
          </w:tcPr>
          <w:p w:rsidR="006B2E89" w:rsidRDefault="00604CCF"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5/10/2011- 12/14/2015</w:t>
            </w:r>
          </w:p>
          <w:p w:rsidR="006B2E89"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
          <w:p w:rsidR="006B2E89"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
        </w:tc>
        <w:tc>
          <w:tcPr>
            <w:tcW w:w="117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Control</w:t>
            </w:r>
          </w:p>
        </w:tc>
      </w:tr>
      <w:tr w:rsidR="006B2E89" w:rsidRPr="004F03AF" w:rsidTr="000E5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B2E89" w:rsidRPr="004F03AF" w:rsidRDefault="006B2E89" w:rsidP="006B2E89">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3</w:t>
            </w:r>
          </w:p>
        </w:tc>
        <w:tc>
          <w:tcPr>
            <w:tcW w:w="1530" w:type="dxa"/>
          </w:tcPr>
          <w:p w:rsidR="006B2E89"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 xml:space="preserve">Discovery </w:t>
            </w:r>
          </w:p>
          <w:p w:rsidR="006B2E89"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GCE</w:t>
            </w:r>
          </w:p>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OPP1046227</w:t>
            </w:r>
          </w:p>
        </w:tc>
        <w:tc>
          <w:tcPr>
            <w:tcW w:w="1800" w:type="dxa"/>
          </w:tcPr>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$100,000</w:t>
            </w:r>
          </w:p>
        </w:tc>
        <w:tc>
          <w:tcPr>
            <w:tcW w:w="1890" w:type="dxa"/>
          </w:tcPr>
          <w:p w:rsidR="006B2E89" w:rsidRPr="004F03AF" w:rsidRDefault="006B2E89" w:rsidP="006B2E89">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Aflatoxin as a Cause of Stunting at Birth</w:t>
            </w:r>
          </w:p>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p>
        </w:tc>
        <w:tc>
          <w:tcPr>
            <w:tcW w:w="1350" w:type="dxa"/>
          </w:tcPr>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Ling Wong</w:t>
            </w:r>
          </w:p>
        </w:tc>
        <w:tc>
          <w:tcPr>
            <w:tcW w:w="1440" w:type="dxa"/>
          </w:tcPr>
          <w:p w:rsidR="006B2E89"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Johns Hopkins School of Public Health</w:t>
            </w:r>
          </w:p>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John </w:t>
            </w:r>
            <w:proofErr w:type="spellStart"/>
            <w:r>
              <w:rPr>
                <w:rFonts w:asciiTheme="minorHAnsi" w:hAnsiTheme="minorHAnsi" w:cstheme="minorHAnsi"/>
                <w:color w:val="1F497D" w:themeColor="text2"/>
                <w:sz w:val="20"/>
                <w:szCs w:val="20"/>
              </w:rPr>
              <w:t>Groopman</w:t>
            </w:r>
            <w:proofErr w:type="spellEnd"/>
            <w:r>
              <w:rPr>
                <w:rFonts w:asciiTheme="minorHAnsi" w:hAnsiTheme="minorHAnsi" w:cstheme="minorHAnsi"/>
                <w:color w:val="1F497D" w:themeColor="text2"/>
                <w:sz w:val="20"/>
                <w:szCs w:val="20"/>
              </w:rPr>
              <w:t xml:space="preserve"> </w:t>
            </w:r>
          </w:p>
        </w:tc>
        <w:tc>
          <w:tcPr>
            <w:tcW w:w="3060" w:type="dxa"/>
          </w:tcPr>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Style w:val="TOCSectionsChar"/>
                <w:rFonts w:asciiTheme="minorHAnsi" w:eastAsiaTheme="minorEastAsia" w:hAnsiTheme="minorHAnsi" w:cstheme="minorHAnsi"/>
                <w:color w:val="1F497D" w:themeColor="text2"/>
                <w:sz w:val="20"/>
                <w:szCs w:val="20"/>
              </w:rPr>
              <w:t>Johns Hopkins Bloomberg School of Public Health will test the hypothesis that exposure during pregnancy to aflatoxin, a toxin produced by mold that widely contaminates staple grains and nuts in hot, humid environments, can lead to stunted fetal growth.</w:t>
            </w:r>
          </w:p>
        </w:tc>
        <w:tc>
          <w:tcPr>
            <w:tcW w:w="1260" w:type="dxa"/>
          </w:tcPr>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Nepal</w:t>
            </w:r>
          </w:p>
        </w:tc>
        <w:tc>
          <w:tcPr>
            <w:tcW w:w="1350" w:type="dxa"/>
          </w:tcPr>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11/1/2011 – 4/30/2013</w:t>
            </w:r>
          </w:p>
        </w:tc>
        <w:tc>
          <w:tcPr>
            <w:tcW w:w="1170" w:type="dxa"/>
          </w:tcPr>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Health Impact</w:t>
            </w:r>
          </w:p>
        </w:tc>
      </w:tr>
      <w:tr w:rsidR="006B2E89" w:rsidRPr="004F03AF" w:rsidTr="000E5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B2E89" w:rsidRPr="00EF6ACB" w:rsidRDefault="006B2E89" w:rsidP="006B2E89">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4</w:t>
            </w:r>
          </w:p>
        </w:tc>
        <w:tc>
          <w:tcPr>
            <w:tcW w:w="1530" w:type="dxa"/>
          </w:tcPr>
          <w:p w:rsidR="006B2E89"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Discovery</w:t>
            </w:r>
          </w:p>
          <w:p w:rsidR="006B2E89"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GCE Round 8</w:t>
            </w:r>
          </w:p>
          <w:p w:rsidR="006B2E89"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OPP1058537</w:t>
            </w:r>
          </w:p>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p>
        </w:tc>
        <w:tc>
          <w:tcPr>
            <w:tcW w:w="180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$100,000</w:t>
            </w:r>
          </w:p>
        </w:tc>
        <w:tc>
          <w:tcPr>
            <w:tcW w:w="189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RNAi of the rate limiting aflatoxin biosynthesis control</w:t>
            </w:r>
          </w:p>
        </w:tc>
        <w:tc>
          <w:tcPr>
            <w:tcW w:w="135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 xml:space="preserve">Christina Owen </w:t>
            </w:r>
          </w:p>
        </w:tc>
        <w:tc>
          <w:tcPr>
            <w:tcW w:w="144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proofErr w:type="spellStart"/>
            <w:r w:rsidRPr="00EF6ACB">
              <w:rPr>
                <w:color w:val="1F497D" w:themeColor="text2"/>
                <w:sz w:val="20"/>
                <w:szCs w:val="20"/>
              </w:rPr>
              <w:t>Jomo</w:t>
            </w:r>
            <w:proofErr w:type="spellEnd"/>
            <w:r w:rsidRPr="00EF6ACB">
              <w:rPr>
                <w:color w:val="1F497D" w:themeColor="text2"/>
                <w:sz w:val="20"/>
                <w:szCs w:val="20"/>
              </w:rPr>
              <w:t xml:space="preserve"> Kenyatta University</w:t>
            </w:r>
          </w:p>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 xml:space="preserve">Amos </w:t>
            </w:r>
            <w:proofErr w:type="spellStart"/>
            <w:r w:rsidRPr="00EF6ACB">
              <w:rPr>
                <w:color w:val="1F497D" w:themeColor="text2"/>
                <w:sz w:val="20"/>
                <w:szCs w:val="20"/>
              </w:rPr>
              <w:t>Alakonya</w:t>
            </w:r>
            <w:proofErr w:type="spellEnd"/>
          </w:p>
        </w:tc>
        <w:tc>
          <w:tcPr>
            <w:tcW w:w="306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to prevent aflatoxin contamination in maize by introducing RNA interference of key enzymes that enable fungi to synthesize aflatoxin</w:t>
            </w:r>
          </w:p>
        </w:tc>
        <w:tc>
          <w:tcPr>
            <w:tcW w:w="126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Kenya</w:t>
            </w:r>
          </w:p>
        </w:tc>
        <w:tc>
          <w:tcPr>
            <w:tcW w:w="135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5/1/2012- 4/30/2014</w:t>
            </w:r>
          </w:p>
        </w:tc>
        <w:tc>
          <w:tcPr>
            <w:tcW w:w="117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Control</w:t>
            </w:r>
          </w:p>
        </w:tc>
      </w:tr>
      <w:tr w:rsidR="006B2E89" w:rsidRPr="004F03AF" w:rsidTr="000E5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B2E89" w:rsidRPr="00EF6ACB" w:rsidRDefault="006B2E89" w:rsidP="006B2E89">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lastRenderedPageBreak/>
              <w:t>5</w:t>
            </w:r>
          </w:p>
        </w:tc>
        <w:tc>
          <w:tcPr>
            <w:tcW w:w="1530" w:type="dxa"/>
          </w:tcPr>
          <w:p w:rsidR="006B2E89"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Pr>
                <w:color w:val="1F497D" w:themeColor="text2"/>
                <w:sz w:val="20"/>
                <w:szCs w:val="20"/>
              </w:rPr>
              <w:t>Discovery</w:t>
            </w:r>
          </w:p>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GCE Round 9</w:t>
            </w:r>
          </w:p>
          <w:p w:rsidR="006B2E89"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OPP1067832</w:t>
            </w:r>
          </w:p>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p>
        </w:tc>
        <w:tc>
          <w:tcPr>
            <w:tcW w:w="180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Pr>
                <w:color w:val="1F497D" w:themeColor="text2"/>
                <w:sz w:val="20"/>
                <w:szCs w:val="20"/>
              </w:rPr>
              <w:t>$100,000</w:t>
            </w:r>
          </w:p>
        </w:tc>
        <w:tc>
          <w:tcPr>
            <w:tcW w:w="189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Aspergillus-resistant aflatoxin-free transgenic groundnuts</w:t>
            </w:r>
          </w:p>
        </w:tc>
        <w:tc>
          <w:tcPr>
            <w:tcW w:w="135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Christina Owen</w:t>
            </w:r>
          </w:p>
        </w:tc>
        <w:tc>
          <w:tcPr>
            <w:tcW w:w="144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University of Arizona</w:t>
            </w:r>
          </w:p>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Monica Schmidt</w:t>
            </w:r>
          </w:p>
        </w:tc>
        <w:tc>
          <w:tcPr>
            <w:tcW w:w="306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to develop a fungal resistant, aflatoxin-free groundnut by suppressing fungal growth and inhibiting the fungus’ ability to biosynthesize the mycotoxin compound</w:t>
            </w:r>
          </w:p>
        </w:tc>
        <w:tc>
          <w:tcPr>
            <w:tcW w:w="1260" w:type="dxa"/>
          </w:tcPr>
          <w:p w:rsidR="006B2E89" w:rsidRPr="00EF6ACB" w:rsidRDefault="00582FD4"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Pr>
                <w:color w:val="1F497D" w:themeColor="text2"/>
                <w:sz w:val="20"/>
                <w:szCs w:val="20"/>
              </w:rPr>
              <w:t>Sub-Saharan Africa</w:t>
            </w:r>
          </w:p>
        </w:tc>
        <w:tc>
          <w:tcPr>
            <w:tcW w:w="135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10/16/2012- 4/30/2014</w:t>
            </w:r>
          </w:p>
        </w:tc>
        <w:tc>
          <w:tcPr>
            <w:tcW w:w="117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Control</w:t>
            </w:r>
          </w:p>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Breeding</w:t>
            </w:r>
          </w:p>
        </w:tc>
      </w:tr>
      <w:tr w:rsidR="006B2E89" w:rsidRPr="004F03AF" w:rsidTr="000E5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B2E89" w:rsidRPr="00EF6ACB" w:rsidRDefault="006B2E89" w:rsidP="006B2E89">
            <w:pPr>
              <w:jc w:val="center"/>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6</w:t>
            </w:r>
          </w:p>
        </w:tc>
        <w:tc>
          <w:tcPr>
            <w:tcW w:w="1530" w:type="dxa"/>
          </w:tcPr>
          <w:p w:rsidR="006B2E89"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Discovery</w:t>
            </w:r>
          </w:p>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GCE Round 8</w:t>
            </w:r>
          </w:p>
          <w:p w:rsidR="006B2E89"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OPP1060246</w:t>
            </w:r>
          </w:p>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p>
        </w:tc>
        <w:tc>
          <w:tcPr>
            <w:tcW w:w="180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$100,000</w:t>
            </w:r>
          </w:p>
        </w:tc>
        <w:tc>
          <w:tcPr>
            <w:tcW w:w="189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Cereal drying unit to combat aflatoxin contamination</w:t>
            </w:r>
          </w:p>
        </w:tc>
        <w:tc>
          <w:tcPr>
            <w:tcW w:w="135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Christina Owen</w:t>
            </w:r>
          </w:p>
        </w:tc>
        <w:tc>
          <w:tcPr>
            <w:tcW w:w="144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Egerton University</w:t>
            </w:r>
          </w:p>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 xml:space="preserve">Meshack </w:t>
            </w:r>
            <w:proofErr w:type="spellStart"/>
            <w:r w:rsidRPr="00EF6ACB">
              <w:rPr>
                <w:color w:val="1F497D" w:themeColor="text2"/>
                <w:sz w:val="20"/>
                <w:szCs w:val="20"/>
              </w:rPr>
              <w:t>Obonyo</w:t>
            </w:r>
            <w:proofErr w:type="spellEnd"/>
          </w:p>
        </w:tc>
        <w:tc>
          <w:tcPr>
            <w:tcW w:w="306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to develop a simple, cost-effective, solar-powered grain drying unit for prevention of aflatoxin contamination in stored grain.</w:t>
            </w:r>
          </w:p>
        </w:tc>
        <w:tc>
          <w:tcPr>
            <w:tcW w:w="126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Kenya</w:t>
            </w:r>
          </w:p>
        </w:tc>
        <w:tc>
          <w:tcPr>
            <w:tcW w:w="135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5/1/2012-4/30/2014</w:t>
            </w:r>
          </w:p>
        </w:tc>
        <w:tc>
          <w:tcPr>
            <w:tcW w:w="1170" w:type="dxa"/>
          </w:tcPr>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EF6ACB">
              <w:rPr>
                <w:color w:val="1F497D" w:themeColor="text2"/>
                <w:sz w:val="20"/>
                <w:szCs w:val="20"/>
              </w:rPr>
              <w:t>Control</w:t>
            </w:r>
          </w:p>
          <w:p w:rsidR="006B2E89" w:rsidRPr="00EF6ACB" w:rsidRDefault="006B2E89" w:rsidP="006B2E89">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proofErr w:type="spellStart"/>
            <w:r w:rsidRPr="00EF6ACB">
              <w:rPr>
                <w:color w:val="1F497D" w:themeColor="text2"/>
                <w:sz w:val="20"/>
                <w:szCs w:val="20"/>
              </w:rPr>
              <w:t>Post Harvest</w:t>
            </w:r>
            <w:proofErr w:type="spellEnd"/>
          </w:p>
        </w:tc>
      </w:tr>
      <w:tr w:rsidR="006B2E89" w:rsidRPr="004F03AF" w:rsidTr="000E5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B2E89" w:rsidRPr="00EF6ACB" w:rsidRDefault="006B2E89" w:rsidP="006B2E89">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7</w:t>
            </w:r>
          </w:p>
        </w:tc>
        <w:tc>
          <w:tcPr>
            <w:tcW w:w="1530" w:type="dxa"/>
          </w:tcPr>
          <w:p w:rsidR="006B2E89"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Pr>
                <w:color w:val="1F497D" w:themeColor="text2"/>
                <w:sz w:val="20"/>
                <w:szCs w:val="20"/>
              </w:rPr>
              <w:t>Discovery</w:t>
            </w:r>
          </w:p>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GCE Round 9</w:t>
            </w:r>
          </w:p>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OPP1068145</w:t>
            </w:r>
          </w:p>
        </w:tc>
        <w:tc>
          <w:tcPr>
            <w:tcW w:w="180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Pr>
                <w:color w:val="1F497D" w:themeColor="text2"/>
                <w:sz w:val="20"/>
                <w:szCs w:val="20"/>
              </w:rPr>
              <w:t>$100,000</w:t>
            </w:r>
          </w:p>
        </w:tc>
        <w:tc>
          <w:tcPr>
            <w:tcW w:w="189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A Lab-on-Mobile-Device Platform for Seed Testing</w:t>
            </w:r>
          </w:p>
        </w:tc>
        <w:tc>
          <w:tcPr>
            <w:tcW w:w="135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Christina Owen</w:t>
            </w:r>
          </w:p>
        </w:tc>
        <w:tc>
          <w:tcPr>
            <w:tcW w:w="144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Mobile Assay, Inc.</w:t>
            </w:r>
          </w:p>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Donald Cooper</w:t>
            </w:r>
          </w:p>
        </w:tc>
        <w:tc>
          <w:tcPr>
            <w:tcW w:w="306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to develop a low-cost, highly sensitive smartphone-based platform that employs phone cameras to image and amplify signals from immunoassays to detect Botrytis and aflatoxin infection in seeds or soil.</w:t>
            </w:r>
          </w:p>
        </w:tc>
        <w:tc>
          <w:tcPr>
            <w:tcW w:w="1260" w:type="dxa"/>
          </w:tcPr>
          <w:p w:rsidR="006B2E89" w:rsidRPr="00EF6ACB" w:rsidRDefault="00582FD4"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Pr>
                <w:color w:val="1F497D" w:themeColor="text2"/>
                <w:sz w:val="20"/>
                <w:szCs w:val="20"/>
              </w:rPr>
              <w:t>Global</w:t>
            </w:r>
          </w:p>
        </w:tc>
        <w:tc>
          <w:tcPr>
            <w:tcW w:w="135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10/15/2012-4/30-2014</w:t>
            </w:r>
          </w:p>
        </w:tc>
        <w:tc>
          <w:tcPr>
            <w:tcW w:w="1170" w:type="dxa"/>
          </w:tcPr>
          <w:p w:rsidR="006B2E89" w:rsidRPr="00EF6ACB" w:rsidRDefault="006B2E89" w:rsidP="006B2E89">
            <w:pP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EF6ACB">
              <w:rPr>
                <w:color w:val="1F497D" w:themeColor="text2"/>
                <w:sz w:val="20"/>
                <w:szCs w:val="20"/>
              </w:rPr>
              <w:t>Diagnostic</w:t>
            </w:r>
            <w:r>
              <w:rPr>
                <w:color w:val="1F497D" w:themeColor="text2"/>
                <w:sz w:val="20"/>
                <w:szCs w:val="20"/>
              </w:rPr>
              <w:t>s</w:t>
            </w:r>
          </w:p>
        </w:tc>
      </w:tr>
      <w:tr w:rsidR="006B2E89" w:rsidRPr="004F03AF" w:rsidTr="000E5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B2E89" w:rsidRPr="004F03AF" w:rsidRDefault="006B2E89" w:rsidP="006B2E89">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8</w:t>
            </w:r>
          </w:p>
        </w:tc>
        <w:tc>
          <w:tcPr>
            <w:tcW w:w="1530" w:type="dxa"/>
          </w:tcPr>
          <w:p w:rsidR="006B2E89"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Discovery</w:t>
            </w:r>
          </w:p>
          <w:p w:rsidR="006B2E89"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GCE Round 8</w:t>
            </w:r>
          </w:p>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D42CB1">
              <w:rPr>
                <w:rFonts w:asciiTheme="minorHAnsi" w:hAnsiTheme="minorHAnsi" w:cstheme="minorHAnsi"/>
                <w:color w:val="1F497D" w:themeColor="text2"/>
                <w:sz w:val="20"/>
                <w:szCs w:val="20"/>
              </w:rPr>
              <w:t>OPP1061062</w:t>
            </w:r>
          </w:p>
        </w:tc>
        <w:tc>
          <w:tcPr>
            <w:tcW w:w="180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$100,000</w:t>
            </w:r>
          </w:p>
        </w:tc>
        <w:tc>
          <w:tcPr>
            <w:tcW w:w="1890" w:type="dxa"/>
          </w:tcPr>
          <w:p w:rsidR="006B2E89" w:rsidRPr="004F03AF" w:rsidRDefault="006B2E89" w:rsidP="006B2E89">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Biomarkers of in utero aflatoxin exposure and child growth</w:t>
            </w:r>
          </w:p>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
        </w:tc>
        <w:tc>
          <w:tcPr>
            <w:tcW w:w="135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Joe Torres</w:t>
            </w:r>
          </w:p>
        </w:tc>
        <w:tc>
          <w:tcPr>
            <w:tcW w:w="144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 xml:space="preserve">WHO </w:t>
            </w:r>
            <w:r w:rsidRPr="004F03AF">
              <w:rPr>
                <w:rStyle w:val="TOCSectionsChar"/>
                <w:rFonts w:asciiTheme="minorHAnsi" w:hAnsiTheme="minorHAnsi" w:cstheme="minorHAnsi"/>
                <w:color w:val="1F497D" w:themeColor="text2"/>
                <w:sz w:val="20"/>
                <w:szCs w:val="20"/>
              </w:rPr>
              <w:t xml:space="preserve">International Agency for Research on Cancer </w:t>
            </w:r>
          </w:p>
        </w:tc>
        <w:tc>
          <w:tcPr>
            <w:tcW w:w="306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Style w:val="TOCSectionsChar"/>
                <w:rFonts w:asciiTheme="minorHAnsi" w:eastAsiaTheme="minorEastAsia" w:hAnsiTheme="minorHAnsi" w:cstheme="minorHAnsi"/>
                <w:color w:val="1F497D" w:themeColor="text2"/>
                <w:sz w:val="20"/>
                <w:szCs w:val="20"/>
              </w:rPr>
              <w:t>To evaluate the impact of seasonal dietary aflatoxin exposure of pregnant women in rural Africa by identifying biomarkers of exposure, growth impairment, and disease risk.</w:t>
            </w:r>
          </w:p>
        </w:tc>
        <w:tc>
          <w:tcPr>
            <w:tcW w:w="126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Gambia</w:t>
            </w:r>
          </w:p>
        </w:tc>
        <w:tc>
          <w:tcPr>
            <w:tcW w:w="135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4/20/</w:t>
            </w:r>
            <w:r w:rsidRPr="004F03AF">
              <w:rPr>
                <w:rFonts w:asciiTheme="minorHAnsi" w:hAnsiTheme="minorHAnsi" w:cstheme="minorHAnsi"/>
                <w:color w:val="1F497D" w:themeColor="text2"/>
                <w:sz w:val="20"/>
                <w:szCs w:val="20"/>
              </w:rPr>
              <w:t xml:space="preserve">2012- </w:t>
            </w:r>
            <w:r>
              <w:rPr>
                <w:rFonts w:asciiTheme="minorHAnsi" w:hAnsiTheme="minorHAnsi" w:cstheme="minorHAnsi"/>
                <w:color w:val="1F497D" w:themeColor="text2"/>
                <w:sz w:val="20"/>
                <w:szCs w:val="20"/>
              </w:rPr>
              <w:t>10/31/</w:t>
            </w:r>
            <w:r w:rsidRPr="004F03AF">
              <w:rPr>
                <w:rFonts w:asciiTheme="minorHAnsi" w:hAnsiTheme="minorHAnsi" w:cstheme="minorHAnsi"/>
                <w:color w:val="1F497D" w:themeColor="text2"/>
                <w:sz w:val="20"/>
                <w:szCs w:val="20"/>
              </w:rPr>
              <w:t>2013</w:t>
            </w:r>
          </w:p>
        </w:tc>
        <w:tc>
          <w:tcPr>
            <w:tcW w:w="1170" w:type="dxa"/>
          </w:tcPr>
          <w:p w:rsidR="006B2E89" w:rsidRPr="004F03AF" w:rsidRDefault="006B2E89" w:rsidP="006B2E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Health Impact</w:t>
            </w:r>
          </w:p>
        </w:tc>
      </w:tr>
      <w:tr w:rsidR="006B2E89" w:rsidRPr="004F03AF" w:rsidTr="000E5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B2E89" w:rsidRDefault="006B2E89" w:rsidP="006B2E89">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9</w:t>
            </w:r>
          </w:p>
        </w:tc>
        <w:tc>
          <w:tcPr>
            <w:tcW w:w="1530" w:type="dxa"/>
          </w:tcPr>
          <w:p w:rsidR="006B2E89"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lang w:val="en"/>
              </w:rPr>
            </w:pPr>
            <w:r w:rsidRPr="004F03AF">
              <w:rPr>
                <w:rFonts w:asciiTheme="minorHAnsi" w:hAnsiTheme="minorHAnsi" w:cstheme="minorHAnsi"/>
                <w:color w:val="1F497D" w:themeColor="text2"/>
                <w:sz w:val="20"/>
                <w:szCs w:val="20"/>
                <w:lang w:val="en"/>
              </w:rPr>
              <w:t xml:space="preserve">Discovery </w:t>
            </w:r>
          </w:p>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lang w:val="en"/>
              </w:rPr>
            </w:pPr>
            <w:r w:rsidRPr="00777585">
              <w:rPr>
                <w:rFonts w:asciiTheme="minorHAnsi" w:hAnsiTheme="minorHAnsi" w:cstheme="minorHAnsi"/>
                <w:color w:val="1F497D" w:themeColor="text2"/>
                <w:sz w:val="20"/>
                <w:szCs w:val="20"/>
              </w:rPr>
              <w:t>OPP1097579</w:t>
            </w:r>
          </w:p>
        </w:tc>
        <w:tc>
          <w:tcPr>
            <w:tcW w:w="1800" w:type="dxa"/>
          </w:tcPr>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lang w:val="en"/>
              </w:rPr>
            </w:pPr>
            <w:r w:rsidRPr="004F03AF">
              <w:rPr>
                <w:rFonts w:asciiTheme="minorHAnsi" w:hAnsiTheme="minorHAnsi" w:cstheme="minorHAnsi"/>
                <w:color w:val="1F497D" w:themeColor="text2"/>
                <w:sz w:val="20"/>
                <w:szCs w:val="20"/>
                <w:lang w:val="en"/>
              </w:rPr>
              <w:t>$174,981</w:t>
            </w:r>
          </w:p>
        </w:tc>
        <w:tc>
          <w:tcPr>
            <w:tcW w:w="1890" w:type="dxa"/>
          </w:tcPr>
          <w:p w:rsidR="006B2E89" w:rsidRPr="004F03AF" w:rsidRDefault="006B2E89" w:rsidP="006B2E89">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Conference: Aflatoxin control measures: A basis for improved health in developing countries</w:t>
            </w:r>
          </w:p>
        </w:tc>
        <w:tc>
          <w:tcPr>
            <w:tcW w:w="1350" w:type="dxa"/>
          </w:tcPr>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Sindura Ganapathi</w:t>
            </w:r>
          </w:p>
        </w:tc>
        <w:tc>
          <w:tcPr>
            <w:tcW w:w="1440" w:type="dxa"/>
          </w:tcPr>
          <w:p w:rsidR="006B2E89"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WHO</w:t>
            </w:r>
          </w:p>
          <w:p w:rsidR="006B2E89"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International Agency for Research on Cancer</w:t>
            </w:r>
          </w:p>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Chris Wild</w:t>
            </w:r>
          </w:p>
        </w:tc>
        <w:tc>
          <w:tcPr>
            <w:tcW w:w="3060" w:type="dxa"/>
          </w:tcPr>
          <w:p w:rsidR="006B2E89" w:rsidRPr="004F03AF" w:rsidRDefault="006B2E89" w:rsidP="006B2E8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OCSectionsChar"/>
                <w:rFonts w:asciiTheme="minorHAnsi" w:hAnsiTheme="minorHAnsi" w:cstheme="minorHAnsi"/>
                <w:color w:val="1F497D" w:themeColor="text2"/>
                <w:sz w:val="20"/>
                <w:szCs w:val="20"/>
              </w:rPr>
            </w:pPr>
            <w:r w:rsidRPr="004F03AF">
              <w:rPr>
                <w:rStyle w:val="TOCSectionsChar"/>
                <w:rFonts w:asciiTheme="minorHAnsi" w:hAnsiTheme="minorHAnsi" w:cstheme="minorHAnsi"/>
                <w:color w:val="1F497D" w:themeColor="text2"/>
                <w:sz w:val="20"/>
                <w:szCs w:val="20"/>
              </w:rPr>
              <w:t>This workshop will bring together mycotoxin experts in epidemiology, child health and agriculture to independently review and evaluate the current evidence on the broader health effects of mycotoxins to shift the debate from mycotoxins as a trade issue to mycotoxins as public health issue and influence policy.</w:t>
            </w:r>
          </w:p>
        </w:tc>
        <w:tc>
          <w:tcPr>
            <w:tcW w:w="1260" w:type="dxa"/>
          </w:tcPr>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Global</w:t>
            </w:r>
          </w:p>
        </w:tc>
        <w:tc>
          <w:tcPr>
            <w:tcW w:w="1350" w:type="dxa"/>
          </w:tcPr>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10/2013 – 12/2015</w:t>
            </w:r>
          </w:p>
        </w:tc>
        <w:tc>
          <w:tcPr>
            <w:tcW w:w="1170" w:type="dxa"/>
          </w:tcPr>
          <w:p w:rsidR="006B2E89" w:rsidRPr="004F03AF" w:rsidRDefault="006B2E89" w:rsidP="006B2E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F03AF">
              <w:rPr>
                <w:rFonts w:asciiTheme="minorHAnsi" w:hAnsiTheme="minorHAnsi" w:cstheme="minorHAnsi"/>
                <w:color w:val="1F497D" w:themeColor="text2"/>
                <w:sz w:val="20"/>
                <w:szCs w:val="20"/>
              </w:rPr>
              <w:t>Health Impact</w:t>
            </w:r>
            <w:r>
              <w:rPr>
                <w:rFonts w:asciiTheme="minorHAnsi" w:hAnsiTheme="minorHAnsi" w:cstheme="minorHAnsi"/>
                <w:color w:val="1F497D" w:themeColor="text2"/>
                <w:sz w:val="20"/>
                <w:szCs w:val="20"/>
              </w:rPr>
              <w:t xml:space="preserve"> and Control</w:t>
            </w:r>
          </w:p>
        </w:tc>
      </w:tr>
      <w:tr w:rsidR="00E825FB" w:rsidRPr="004F03AF" w:rsidTr="000E5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E825FB" w:rsidRDefault="00E825FB" w:rsidP="00E825FB">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10</w:t>
            </w:r>
          </w:p>
        </w:tc>
        <w:tc>
          <w:tcPr>
            <w:tcW w:w="1530" w:type="dxa"/>
          </w:tcPr>
          <w:p w:rsidR="00E825F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Agriculture</w:t>
            </w:r>
          </w:p>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OPP1112728</w:t>
            </w:r>
          </w:p>
        </w:tc>
        <w:tc>
          <w:tcPr>
            <w:tcW w:w="1800" w:type="dxa"/>
          </w:tcPr>
          <w:p w:rsidR="00E825F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lang w:val="en"/>
              </w:rPr>
            </w:pPr>
            <w:r>
              <w:rPr>
                <w:rFonts w:asciiTheme="minorHAnsi" w:hAnsiTheme="minorHAnsi" w:cstheme="minorHAnsi"/>
                <w:color w:val="1F497D" w:themeColor="text2"/>
                <w:sz w:val="20"/>
                <w:szCs w:val="20"/>
                <w:lang w:val="en"/>
              </w:rPr>
              <w:t>$634,791</w:t>
            </w:r>
          </w:p>
        </w:tc>
        <w:tc>
          <w:tcPr>
            <w:tcW w:w="1890" w:type="dxa"/>
          </w:tcPr>
          <w:p w:rsidR="00E825FB" w:rsidRPr="00EF6ACB" w:rsidRDefault="00E825FB" w:rsidP="00E825FB">
            <w:pPr>
              <w:contextualSpacing/>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sidRPr="00314A86">
              <w:rPr>
                <w:color w:val="1F497D" w:themeColor="text2"/>
                <w:sz w:val="20"/>
                <w:szCs w:val="20"/>
              </w:rPr>
              <w:t xml:space="preserve">GCE Phase II: Lab-on-Mobile Device Platform for Mobile Diagnostics and </w:t>
            </w:r>
            <w:r w:rsidRPr="00314A86">
              <w:rPr>
                <w:color w:val="1F497D" w:themeColor="text2"/>
                <w:sz w:val="20"/>
                <w:szCs w:val="20"/>
              </w:rPr>
              <w:lastRenderedPageBreak/>
              <w:t>Pathogen Surveillance (DFID)</w:t>
            </w:r>
          </w:p>
        </w:tc>
        <w:tc>
          <w:tcPr>
            <w:tcW w:w="135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lastRenderedPageBreak/>
              <w:t xml:space="preserve">Charlene </w:t>
            </w:r>
            <w:proofErr w:type="spellStart"/>
            <w:r>
              <w:rPr>
                <w:rFonts w:asciiTheme="minorHAnsi" w:hAnsiTheme="minorHAnsi" w:cstheme="minorHAnsi"/>
                <w:color w:val="1F497D" w:themeColor="text2"/>
                <w:sz w:val="20"/>
                <w:szCs w:val="20"/>
              </w:rPr>
              <w:t>McKoin</w:t>
            </w:r>
            <w:proofErr w:type="spellEnd"/>
          </w:p>
        </w:tc>
        <w:tc>
          <w:tcPr>
            <w:tcW w:w="144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 xml:space="preserve">Mobile Assay Inc. </w:t>
            </w:r>
          </w:p>
        </w:tc>
        <w:tc>
          <w:tcPr>
            <w:tcW w:w="3060" w:type="dxa"/>
          </w:tcPr>
          <w:p w:rsidR="00E825FB" w:rsidRPr="008B4A66" w:rsidRDefault="00E825FB" w:rsidP="00E825FB">
            <w:pPr>
              <w:pStyle w:val="Default"/>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D</w:t>
            </w:r>
            <w:r w:rsidRPr="008B4A66">
              <w:rPr>
                <w:color w:val="1F497D" w:themeColor="text2"/>
                <w:sz w:val="20"/>
                <w:szCs w:val="20"/>
              </w:rPr>
              <w:t xml:space="preserve">eploy a Lab-on-Mobile-Device platform on smartphones for use by Sub-Saharan Africa to quantify mycotoxins in grain and then </w:t>
            </w:r>
            <w:r w:rsidRPr="008B4A66">
              <w:rPr>
                <w:color w:val="1F497D" w:themeColor="text2"/>
                <w:sz w:val="20"/>
                <w:szCs w:val="20"/>
              </w:rPr>
              <w:lastRenderedPageBreak/>
              <w:t>develop an integrated mobile ozone decontamination treatment system for contaminated material</w:t>
            </w:r>
          </w:p>
          <w:p w:rsidR="00E825FB" w:rsidRPr="008B4A66" w:rsidRDefault="00E825FB" w:rsidP="00E825FB">
            <w:pPr>
              <w:pStyle w:val="Default"/>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p>
        </w:tc>
        <w:tc>
          <w:tcPr>
            <w:tcW w:w="126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lastRenderedPageBreak/>
              <w:t>Sub-Saharan Africa</w:t>
            </w:r>
          </w:p>
        </w:tc>
        <w:tc>
          <w:tcPr>
            <w:tcW w:w="1350" w:type="dxa"/>
          </w:tcPr>
          <w:p w:rsidR="00E825FB" w:rsidRDefault="00E825FB" w:rsidP="00E825FB">
            <w:pPr>
              <w:cnfStyle w:val="000000010000" w:firstRow="0" w:lastRow="0" w:firstColumn="0" w:lastColumn="0" w:oddVBand="0" w:evenVBand="0" w:oddHBand="0" w:evenHBand="1" w:firstRowFirstColumn="0" w:firstRowLastColumn="0" w:lastRowFirstColumn="0" w:lastRowLastColumn="0"/>
              <w:rPr>
                <w:color w:val="1F497D" w:themeColor="text2"/>
                <w:sz w:val="20"/>
                <w:szCs w:val="20"/>
              </w:rPr>
            </w:pPr>
            <w:r>
              <w:rPr>
                <w:color w:val="1F497D" w:themeColor="text2"/>
                <w:sz w:val="20"/>
                <w:szCs w:val="20"/>
              </w:rPr>
              <w:t>8/6/2014-7/31/2016</w:t>
            </w:r>
          </w:p>
          <w:p w:rsidR="00E825FB" w:rsidRPr="008B4A66" w:rsidRDefault="00E825FB" w:rsidP="00E825FB">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Control</w:t>
            </w:r>
          </w:p>
        </w:tc>
      </w:tr>
      <w:tr w:rsidR="00604CCF" w:rsidRPr="004F03AF" w:rsidTr="000E5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E825FB" w:rsidRDefault="00E825FB" w:rsidP="00E825FB">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11</w:t>
            </w:r>
          </w:p>
        </w:tc>
        <w:tc>
          <w:tcPr>
            <w:tcW w:w="1530" w:type="dxa"/>
          </w:tcPr>
          <w:p w:rsidR="00E825FB" w:rsidRDefault="00E825FB" w:rsidP="00E825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Nutrition</w:t>
            </w:r>
          </w:p>
          <w:p w:rsidR="00E825FB" w:rsidRPr="004F03AF" w:rsidRDefault="00E825FB" w:rsidP="00E825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OPP1118603</w:t>
            </w:r>
          </w:p>
        </w:tc>
        <w:tc>
          <w:tcPr>
            <w:tcW w:w="1800" w:type="dxa"/>
          </w:tcPr>
          <w:p w:rsidR="00E825FB" w:rsidRPr="004F03AF" w:rsidRDefault="00E825FB" w:rsidP="00E825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$381,868</w:t>
            </w:r>
          </w:p>
        </w:tc>
        <w:tc>
          <w:tcPr>
            <w:tcW w:w="1890" w:type="dxa"/>
          </w:tcPr>
          <w:p w:rsidR="00E825FB" w:rsidRPr="004F03AF" w:rsidRDefault="00E825FB" w:rsidP="00E825F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1F497D" w:themeColor="text2"/>
                <w:sz w:val="20"/>
                <w:szCs w:val="20"/>
              </w:rPr>
            </w:pPr>
            <w:r w:rsidRPr="00463BB8">
              <w:rPr>
                <w:rFonts w:asciiTheme="minorHAnsi" w:hAnsiTheme="minorHAnsi" w:cstheme="minorHAnsi"/>
                <w:iCs/>
                <w:color w:val="1F497D" w:themeColor="text2"/>
                <w:sz w:val="20"/>
                <w:szCs w:val="20"/>
              </w:rPr>
              <w:t>Planning Grant for Trial of Mycotoxin Mitigation and Stunting in the First 1000 Days</w:t>
            </w:r>
          </w:p>
        </w:tc>
        <w:tc>
          <w:tcPr>
            <w:tcW w:w="1350" w:type="dxa"/>
          </w:tcPr>
          <w:p w:rsidR="00E825FB" w:rsidRPr="004F03AF" w:rsidRDefault="00E825FB" w:rsidP="00E825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Shelly Sundberg</w:t>
            </w:r>
          </w:p>
        </w:tc>
        <w:tc>
          <w:tcPr>
            <w:tcW w:w="1440" w:type="dxa"/>
          </w:tcPr>
          <w:p w:rsidR="00E825FB" w:rsidRPr="004F03AF" w:rsidRDefault="00E825FB" w:rsidP="00E825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1F497D" w:themeColor="text2"/>
                <w:kern w:val="24"/>
                <w:sz w:val="20"/>
                <w:szCs w:val="20"/>
              </w:rPr>
            </w:pPr>
            <w:r w:rsidRPr="004F03AF">
              <w:rPr>
                <w:rFonts w:asciiTheme="minorHAnsi" w:hAnsiTheme="minorHAnsi" w:cstheme="minorHAnsi"/>
                <w:bCs/>
                <w:color w:val="1F497D" w:themeColor="text2"/>
                <w:kern w:val="24"/>
                <w:sz w:val="20"/>
                <w:szCs w:val="20"/>
              </w:rPr>
              <w:t>Cornell</w:t>
            </w:r>
          </w:p>
          <w:p w:rsidR="00E825FB" w:rsidRPr="004F03AF" w:rsidRDefault="00E825FB" w:rsidP="00E825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1F497D" w:themeColor="text2"/>
                <w:kern w:val="24"/>
                <w:sz w:val="20"/>
                <w:szCs w:val="20"/>
              </w:rPr>
            </w:pPr>
            <w:r w:rsidRPr="004F03AF">
              <w:rPr>
                <w:rFonts w:asciiTheme="minorHAnsi" w:hAnsiTheme="minorHAnsi" w:cstheme="minorHAnsi"/>
                <w:bCs/>
                <w:color w:val="1F497D" w:themeColor="text2"/>
                <w:kern w:val="24"/>
                <w:sz w:val="20"/>
                <w:szCs w:val="20"/>
              </w:rPr>
              <w:t>Becky Stoltzfus</w:t>
            </w:r>
          </w:p>
        </w:tc>
        <w:tc>
          <w:tcPr>
            <w:tcW w:w="3060" w:type="dxa"/>
          </w:tcPr>
          <w:p w:rsidR="00E825FB" w:rsidRPr="004F03AF" w:rsidRDefault="00E825FB" w:rsidP="00E825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sidRPr="00463BB8">
              <w:rPr>
                <w:rFonts w:asciiTheme="minorHAnsi" w:hAnsiTheme="minorHAnsi" w:cstheme="minorHAnsi"/>
                <w:iCs/>
                <w:color w:val="1F497D" w:themeColor="text2"/>
                <w:sz w:val="20"/>
                <w:szCs w:val="20"/>
              </w:rPr>
              <w:t>To synthesize scientific, regulatory, and logistical information for key decisions and build capacity of a multidisciplinary team of researchers to implement a randomized trial to measure the effects of mycotoxin mitigation on child stunting.</w:t>
            </w:r>
          </w:p>
        </w:tc>
        <w:tc>
          <w:tcPr>
            <w:tcW w:w="1260" w:type="dxa"/>
          </w:tcPr>
          <w:p w:rsidR="00E825FB" w:rsidRPr="004F03AF" w:rsidRDefault="00E825FB" w:rsidP="00E825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Tanzania</w:t>
            </w:r>
          </w:p>
        </w:tc>
        <w:tc>
          <w:tcPr>
            <w:tcW w:w="1350" w:type="dxa"/>
          </w:tcPr>
          <w:p w:rsidR="00E825FB" w:rsidRDefault="00E825FB" w:rsidP="00E825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11/19/2014- 10/31/2016</w:t>
            </w:r>
          </w:p>
        </w:tc>
        <w:tc>
          <w:tcPr>
            <w:tcW w:w="1170" w:type="dxa"/>
          </w:tcPr>
          <w:p w:rsidR="00E825FB" w:rsidRPr="004F03AF" w:rsidRDefault="00E825FB" w:rsidP="00E825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Health Impact</w:t>
            </w:r>
          </w:p>
        </w:tc>
      </w:tr>
      <w:tr w:rsidR="00E825FB" w:rsidRPr="004F03AF" w:rsidTr="000E5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E825FB" w:rsidRDefault="00E825FB" w:rsidP="00E825FB">
            <w:pPr>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12</w:t>
            </w:r>
          </w:p>
        </w:tc>
        <w:tc>
          <w:tcPr>
            <w:tcW w:w="153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Agriculture</w:t>
            </w:r>
          </w:p>
          <w:p w:rsidR="00E825F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OPP1026507</w:t>
            </w:r>
          </w:p>
          <w:p w:rsidR="00E825F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
        </w:tc>
        <w:tc>
          <w:tcPr>
            <w:tcW w:w="180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$19,811,768</w:t>
            </w:r>
            <w:r>
              <w:rPr>
                <w:rFonts w:asciiTheme="minorHAnsi" w:hAnsiTheme="minorHAnsi" w:cstheme="minorHAnsi"/>
                <w:color w:val="1F497D" w:themeColor="text2"/>
                <w:sz w:val="20"/>
                <w:szCs w:val="20"/>
              </w:rPr>
              <w:t xml:space="preserve"> plus DFID and USAID co-funding</w:t>
            </w:r>
          </w:p>
        </w:tc>
        <w:tc>
          <w:tcPr>
            <w:tcW w:w="1890" w:type="dxa"/>
          </w:tcPr>
          <w:p w:rsidR="00E825FB" w:rsidRPr="00EF6ACB" w:rsidRDefault="00E825FB" w:rsidP="00E825FB">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Partnership for Aflatoxin Control in Africa (PACA)</w:t>
            </w:r>
          </w:p>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
        </w:tc>
        <w:tc>
          <w:tcPr>
            <w:tcW w:w="135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Orin Hasson</w:t>
            </w:r>
          </w:p>
        </w:tc>
        <w:tc>
          <w:tcPr>
            <w:tcW w:w="144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Meridian Institute</w:t>
            </w:r>
          </w:p>
        </w:tc>
        <w:tc>
          <w:tcPr>
            <w:tcW w:w="306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To develop an Africa-based and Africa-led partnership, and to substantially control aflatoxin contamination in key staple crops across sub-Saharan Africa. Note: there are 5 sub-grants attached to this grant.</w:t>
            </w:r>
          </w:p>
        </w:tc>
        <w:tc>
          <w:tcPr>
            <w:tcW w:w="126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Sub-Saharan Africa</w:t>
            </w:r>
          </w:p>
        </w:tc>
        <w:tc>
          <w:tcPr>
            <w:tcW w:w="135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 xml:space="preserve">11/11/2011 – 11/16/2016 </w:t>
            </w:r>
          </w:p>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p>
        </w:tc>
        <w:tc>
          <w:tcPr>
            <w:tcW w:w="1170" w:type="dxa"/>
          </w:tcPr>
          <w:p w:rsidR="00E825FB" w:rsidRPr="00EF6ACB" w:rsidRDefault="00E825FB" w:rsidP="00E825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20"/>
                <w:szCs w:val="20"/>
              </w:rPr>
            </w:pPr>
            <w:r w:rsidRPr="00EF6ACB">
              <w:rPr>
                <w:rFonts w:asciiTheme="minorHAnsi" w:hAnsiTheme="minorHAnsi" w:cstheme="minorHAnsi"/>
                <w:color w:val="1F497D" w:themeColor="text2"/>
                <w:sz w:val="20"/>
                <w:szCs w:val="20"/>
              </w:rPr>
              <w:t>Control</w:t>
            </w:r>
          </w:p>
        </w:tc>
      </w:tr>
    </w:tbl>
    <w:p w:rsidR="00EF6ACB" w:rsidRPr="004F03AF" w:rsidRDefault="00EF6ACB" w:rsidP="00083A8D">
      <w:pPr>
        <w:pStyle w:val="ListParagraph"/>
        <w:rPr>
          <w:color w:val="1F497D"/>
          <w:sz w:val="20"/>
          <w:szCs w:val="20"/>
        </w:rPr>
      </w:pPr>
    </w:p>
    <w:sectPr w:rsidR="00EF6ACB" w:rsidRPr="004F03AF" w:rsidSect="002A748E">
      <w:headerReference w:type="default" r:id="rId8"/>
      <w:footerReference w:type="default" r:id="rId9"/>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F2" w:rsidRDefault="00D07EF2" w:rsidP="000E5AEC">
      <w:r>
        <w:separator/>
      </w:r>
    </w:p>
  </w:endnote>
  <w:endnote w:type="continuationSeparator" w:id="0">
    <w:p w:rsidR="00D07EF2" w:rsidRDefault="00D07EF2" w:rsidP="000E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837175"/>
      <w:docPartObj>
        <w:docPartGallery w:val="Page Numbers (Bottom of Page)"/>
        <w:docPartUnique/>
      </w:docPartObj>
    </w:sdtPr>
    <w:sdtEndPr>
      <w:rPr>
        <w:noProof/>
      </w:rPr>
    </w:sdtEndPr>
    <w:sdtContent>
      <w:p w:rsidR="002A748E" w:rsidRDefault="002A748E">
        <w:pPr>
          <w:pStyle w:val="Footer"/>
          <w:jc w:val="right"/>
        </w:pPr>
        <w:r>
          <w:fldChar w:fldCharType="begin"/>
        </w:r>
        <w:r>
          <w:instrText xml:space="preserve"> PAGE   \* MERGEFORMAT </w:instrText>
        </w:r>
        <w:r>
          <w:fldChar w:fldCharType="separate"/>
        </w:r>
        <w:r w:rsidR="000C55B8">
          <w:rPr>
            <w:noProof/>
          </w:rPr>
          <w:t>3</w:t>
        </w:r>
        <w:r>
          <w:rPr>
            <w:noProof/>
          </w:rPr>
          <w:fldChar w:fldCharType="end"/>
        </w:r>
      </w:p>
    </w:sdtContent>
  </w:sdt>
  <w:p w:rsidR="002A748E" w:rsidRDefault="002A7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F2" w:rsidRDefault="00D07EF2" w:rsidP="000E5AEC">
      <w:r>
        <w:separator/>
      </w:r>
    </w:p>
  </w:footnote>
  <w:footnote w:type="continuationSeparator" w:id="0">
    <w:p w:rsidR="00D07EF2" w:rsidRDefault="00D07EF2" w:rsidP="000E5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EC" w:rsidRDefault="000E5AEC">
    <w:pPr>
      <w:pStyle w:val="Header"/>
    </w:pPr>
    <w:r>
      <w:tab/>
    </w:r>
    <w:r>
      <w:tab/>
      <w:t xml:space="preserve">                                                                                            </w:t>
    </w:r>
    <w:r>
      <w:rPr>
        <w:noProof/>
      </w:rPr>
      <w:drawing>
        <wp:inline distT="0" distB="0" distL="0" distR="0" wp14:anchorId="53930877" wp14:editId="4AB894D2">
          <wp:extent cx="22669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66950" cy="657225"/>
                  </a:xfrm>
                  <a:prstGeom prst="rect">
                    <a:avLst/>
                  </a:prstGeom>
                </pic:spPr>
              </pic:pic>
            </a:graphicData>
          </a:graphic>
        </wp:inline>
      </w:drawing>
    </w:r>
    <w:r>
      <w:t xml:space="preserve">  </w:t>
    </w:r>
    <w:r w:rsidR="002A748E">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AFA"/>
    <w:multiLevelType w:val="hybridMultilevel"/>
    <w:tmpl w:val="1158CF14"/>
    <w:lvl w:ilvl="0" w:tplc="CC98652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A019F"/>
    <w:multiLevelType w:val="hybridMultilevel"/>
    <w:tmpl w:val="1158CF14"/>
    <w:lvl w:ilvl="0" w:tplc="CC98652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4A02"/>
    <w:multiLevelType w:val="hybridMultilevel"/>
    <w:tmpl w:val="1158CF14"/>
    <w:lvl w:ilvl="0" w:tplc="CC98652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A2798"/>
    <w:multiLevelType w:val="hybridMultilevel"/>
    <w:tmpl w:val="368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3334F"/>
    <w:multiLevelType w:val="hybridMultilevel"/>
    <w:tmpl w:val="1158CF14"/>
    <w:lvl w:ilvl="0" w:tplc="CC98652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A725F"/>
    <w:multiLevelType w:val="hybridMultilevel"/>
    <w:tmpl w:val="11E26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E931B61"/>
    <w:multiLevelType w:val="hybridMultilevel"/>
    <w:tmpl w:val="1158CF14"/>
    <w:lvl w:ilvl="0" w:tplc="CC98652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C5F"/>
    <w:multiLevelType w:val="hybridMultilevel"/>
    <w:tmpl w:val="1158CF14"/>
    <w:lvl w:ilvl="0" w:tplc="CC98652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92C87"/>
    <w:multiLevelType w:val="hybridMultilevel"/>
    <w:tmpl w:val="1158CF14"/>
    <w:lvl w:ilvl="0" w:tplc="CC98652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12402"/>
    <w:multiLevelType w:val="hybridMultilevel"/>
    <w:tmpl w:val="1158CF14"/>
    <w:lvl w:ilvl="0" w:tplc="CC98652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6"/>
  </w:num>
  <w:num w:numId="5">
    <w:abstractNumId w:val="1"/>
  </w:num>
  <w:num w:numId="6">
    <w:abstractNumId w:val="7"/>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8D"/>
    <w:rsid w:val="00013ED4"/>
    <w:rsid w:val="00022A2C"/>
    <w:rsid w:val="000547C3"/>
    <w:rsid w:val="00054D37"/>
    <w:rsid w:val="00080448"/>
    <w:rsid w:val="00083421"/>
    <w:rsid w:val="00083A8D"/>
    <w:rsid w:val="000964D9"/>
    <w:rsid w:val="000C1B0E"/>
    <w:rsid w:val="000C55B8"/>
    <w:rsid w:val="000C7514"/>
    <w:rsid w:val="000E5AEC"/>
    <w:rsid w:val="001034CF"/>
    <w:rsid w:val="00185E2A"/>
    <w:rsid w:val="001B2B6D"/>
    <w:rsid w:val="001F07AC"/>
    <w:rsid w:val="00212E9B"/>
    <w:rsid w:val="00233299"/>
    <w:rsid w:val="002528E8"/>
    <w:rsid w:val="002A748E"/>
    <w:rsid w:val="002B1D91"/>
    <w:rsid w:val="00314A86"/>
    <w:rsid w:val="00321DE1"/>
    <w:rsid w:val="003464A7"/>
    <w:rsid w:val="003473CF"/>
    <w:rsid w:val="003654F5"/>
    <w:rsid w:val="003A03E2"/>
    <w:rsid w:val="004010C7"/>
    <w:rsid w:val="0043103E"/>
    <w:rsid w:val="00463BB8"/>
    <w:rsid w:val="004D7A87"/>
    <w:rsid w:val="004F03AF"/>
    <w:rsid w:val="00512964"/>
    <w:rsid w:val="00545742"/>
    <w:rsid w:val="00582FD4"/>
    <w:rsid w:val="005E7CA4"/>
    <w:rsid w:val="00602D4A"/>
    <w:rsid w:val="00604CCF"/>
    <w:rsid w:val="00624E2D"/>
    <w:rsid w:val="006416E0"/>
    <w:rsid w:val="00656F18"/>
    <w:rsid w:val="006B2E89"/>
    <w:rsid w:val="006E195D"/>
    <w:rsid w:val="006E57AE"/>
    <w:rsid w:val="006F72DA"/>
    <w:rsid w:val="00712C60"/>
    <w:rsid w:val="00777585"/>
    <w:rsid w:val="007C2738"/>
    <w:rsid w:val="007E2E7C"/>
    <w:rsid w:val="008030B7"/>
    <w:rsid w:val="008A7A1C"/>
    <w:rsid w:val="008B4A66"/>
    <w:rsid w:val="008E4378"/>
    <w:rsid w:val="00902EE8"/>
    <w:rsid w:val="0093088A"/>
    <w:rsid w:val="00942584"/>
    <w:rsid w:val="00A4746D"/>
    <w:rsid w:val="00A839C1"/>
    <w:rsid w:val="00B01344"/>
    <w:rsid w:val="00B2703D"/>
    <w:rsid w:val="00B86252"/>
    <w:rsid w:val="00BA7172"/>
    <w:rsid w:val="00C144C7"/>
    <w:rsid w:val="00C36F34"/>
    <w:rsid w:val="00C62B42"/>
    <w:rsid w:val="00CC1F7C"/>
    <w:rsid w:val="00D07EF2"/>
    <w:rsid w:val="00D3780C"/>
    <w:rsid w:val="00D42CB1"/>
    <w:rsid w:val="00D871AA"/>
    <w:rsid w:val="00DE3B11"/>
    <w:rsid w:val="00DE6112"/>
    <w:rsid w:val="00DE72FC"/>
    <w:rsid w:val="00E0364B"/>
    <w:rsid w:val="00E311C2"/>
    <w:rsid w:val="00E825FB"/>
    <w:rsid w:val="00EF6ACB"/>
    <w:rsid w:val="00FA1D6B"/>
    <w:rsid w:val="00FD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9D6F6"/>
  <w15:docId w15:val="{85C4B768-C2BA-4140-A2EF-6ECF13C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3A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A8D"/>
    <w:rPr>
      <w:color w:val="0000FF"/>
      <w:u w:val="single"/>
    </w:rPr>
  </w:style>
  <w:style w:type="paragraph" w:styleId="ListParagraph">
    <w:name w:val="List Paragraph"/>
    <w:basedOn w:val="Normal"/>
    <w:uiPriority w:val="34"/>
    <w:qFormat/>
    <w:rsid w:val="00083A8D"/>
    <w:pPr>
      <w:ind w:left="720"/>
    </w:pPr>
  </w:style>
  <w:style w:type="character" w:customStyle="1" w:styleId="TOCSectionsChar">
    <w:name w:val="TOC Sections Char"/>
    <w:rsid w:val="00602D4A"/>
    <w:rPr>
      <w:rFonts w:ascii="Tahoma" w:hAnsi="Tahoma" w:cs="Tahoma"/>
      <w:color w:val="993300"/>
      <w:sz w:val="28"/>
      <w:szCs w:val="28"/>
      <w:lang w:val="en-US" w:eastAsia="en-US" w:bidi="ar-SA"/>
    </w:rPr>
  </w:style>
  <w:style w:type="paragraph" w:styleId="NoSpacing">
    <w:name w:val="No Spacing"/>
    <w:link w:val="NoSpacingChar"/>
    <w:uiPriority w:val="1"/>
    <w:qFormat/>
    <w:rsid w:val="00A839C1"/>
    <w:pPr>
      <w:spacing w:after="0" w:line="240" w:lineRule="auto"/>
    </w:pPr>
    <w:rPr>
      <w:rFonts w:ascii="Calibri" w:eastAsia="Malgun Gothic" w:hAnsi="Calibri" w:cs="Arial"/>
      <w:szCs w:val="20"/>
    </w:rPr>
  </w:style>
  <w:style w:type="character" w:customStyle="1" w:styleId="NoSpacingChar">
    <w:name w:val="No Spacing Char"/>
    <w:basedOn w:val="DefaultParagraphFont"/>
    <w:link w:val="NoSpacing"/>
    <w:uiPriority w:val="1"/>
    <w:rsid w:val="00A839C1"/>
    <w:rPr>
      <w:rFonts w:ascii="Calibri" w:eastAsia="Malgun Gothic" w:hAnsi="Calibri" w:cs="Arial"/>
      <w:szCs w:val="20"/>
    </w:rPr>
  </w:style>
  <w:style w:type="paragraph" w:styleId="NormalWeb">
    <w:name w:val="Normal (Web)"/>
    <w:basedOn w:val="Normal"/>
    <w:uiPriority w:val="99"/>
    <w:unhideWhenUsed/>
    <w:rsid w:val="00A839C1"/>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DE3B11"/>
    <w:pPr>
      <w:autoSpaceDE w:val="0"/>
      <w:autoSpaceDN w:val="0"/>
      <w:adjustRightInd w:val="0"/>
      <w:spacing w:after="0" w:line="240" w:lineRule="auto"/>
    </w:pPr>
    <w:rPr>
      <w:rFonts w:ascii="Calibri" w:hAnsi="Calibri" w:cs="Calibri"/>
      <w:color w:val="000000"/>
      <w:sz w:val="24"/>
      <w:szCs w:val="24"/>
    </w:rPr>
  </w:style>
  <w:style w:type="table" w:styleId="LightGrid-Accent1">
    <w:name w:val="Light Grid Accent 1"/>
    <w:basedOn w:val="TableNormal"/>
    <w:uiPriority w:val="62"/>
    <w:rsid w:val="00C144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C144C7"/>
    <w:rPr>
      <w:sz w:val="16"/>
      <w:szCs w:val="16"/>
    </w:rPr>
  </w:style>
  <w:style w:type="paragraph" w:styleId="CommentText">
    <w:name w:val="annotation text"/>
    <w:basedOn w:val="Normal"/>
    <w:link w:val="CommentTextChar"/>
    <w:uiPriority w:val="99"/>
    <w:semiHidden/>
    <w:unhideWhenUsed/>
    <w:rsid w:val="00C144C7"/>
    <w:rPr>
      <w:sz w:val="20"/>
      <w:szCs w:val="20"/>
    </w:rPr>
  </w:style>
  <w:style w:type="character" w:customStyle="1" w:styleId="CommentTextChar">
    <w:name w:val="Comment Text Char"/>
    <w:basedOn w:val="DefaultParagraphFont"/>
    <w:link w:val="CommentText"/>
    <w:uiPriority w:val="99"/>
    <w:semiHidden/>
    <w:rsid w:val="00C144C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44C7"/>
    <w:rPr>
      <w:b/>
      <w:bCs/>
    </w:rPr>
  </w:style>
  <w:style w:type="character" w:customStyle="1" w:styleId="CommentSubjectChar">
    <w:name w:val="Comment Subject Char"/>
    <w:basedOn w:val="CommentTextChar"/>
    <w:link w:val="CommentSubject"/>
    <w:uiPriority w:val="99"/>
    <w:semiHidden/>
    <w:rsid w:val="00C144C7"/>
    <w:rPr>
      <w:rFonts w:ascii="Calibri" w:hAnsi="Calibri" w:cs="Calibri"/>
      <w:b/>
      <w:bCs/>
      <w:sz w:val="20"/>
      <w:szCs w:val="20"/>
    </w:rPr>
  </w:style>
  <w:style w:type="paragraph" w:styleId="BalloonText">
    <w:name w:val="Balloon Text"/>
    <w:basedOn w:val="Normal"/>
    <w:link w:val="BalloonTextChar"/>
    <w:uiPriority w:val="99"/>
    <w:semiHidden/>
    <w:unhideWhenUsed/>
    <w:rsid w:val="00C144C7"/>
    <w:rPr>
      <w:rFonts w:ascii="Tahoma" w:hAnsi="Tahoma" w:cs="Tahoma"/>
      <w:sz w:val="16"/>
      <w:szCs w:val="16"/>
    </w:rPr>
  </w:style>
  <w:style w:type="character" w:customStyle="1" w:styleId="BalloonTextChar">
    <w:name w:val="Balloon Text Char"/>
    <w:basedOn w:val="DefaultParagraphFont"/>
    <w:link w:val="BalloonText"/>
    <w:uiPriority w:val="99"/>
    <w:semiHidden/>
    <w:rsid w:val="00C144C7"/>
    <w:rPr>
      <w:rFonts w:ascii="Tahoma" w:hAnsi="Tahoma" w:cs="Tahoma"/>
      <w:sz w:val="16"/>
      <w:szCs w:val="16"/>
    </w:rPr>
  </w:style>
  <w:style w:type="table" w:styleId="LightGrid-Accent2">
    <w:name w:val="Light Grid Accent 2"/>
    <w:basedOn w:val="TableNormal"/>
    <w:uiPriority w:val="62"/>
    <w:rsid w:val="00EF6AC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6AC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E5AE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0E5AEC"/>
    <w:pPr>
      <w:tabs>
        <w:tab w:val="center" w:pos="4680"/>
        <w:tab w:val="right" w:pos="9360"/>
      </w:tabs>
    </w:pPr>
  </w:style>
  <w:style w:type="character" w:customStyle="1" w:styleId="HeaderChar">
    <w:name w:val="Header Char"/>
    <w:basedOn w:val="DefaultParagraphFont"/>
    <w:link w:val="Header"/>
    <w:uiPriority w:val="99"/>
    <w:rsid w:val="000E5AEC"/>
    <w:rPr>
      <w:rFonts w:ascii="Calibri" w:hAnsi="Calibri" w:cs="Calibri"/>
    </w:rPr>
  </w:style>
  <w:style w:type="paragraph" w:styleId="Footer">
    <w:name w:val="footer"/>
    <w:basedOn w:val="Normal"/>
    <w:link w:val="FooterChar"/>
    <w:uiPriority w:val="99"/>
    <w:unhideWhenUsed/>
    <w:rsid w:val="000E5AEC"/>
    <w:pPr>
      <w:tabs>
        <w:tab w:val="center" w:pos="4680"/>
        <w:tab w:val="right" w:pos="9360"/>
      </w:tabs>
    </w:pPr>
  </w:style>
  <w:style w:type="character" w:customStyle="1" w:styleId="FooterChar">
    <w:name w:val="Footer Char"/>
    <w:basedOn w:val="DefaultParagraphFont"/>
    <w:link w:val="Footer"/>
    <w:uiPriority w:val="99"/>
    <w:rsid w:val="000E5AE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3C7C-A04C-4600-A295-EE1CB805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Roselinda Barbuto (Independent Contractor)</dc:creator>
  <cp:lastModifiedBy>Shelly Sundberg</cp:lastModifiedBy>
  <cp:revision>8</cp:revision>
  <cp:lastPrinted>2014-02-17T22:28:00Z</cp:lastPrinted>
  <dcterms:created xsi:type="dcterms:W3CDTF">2016-10-26T16:15:00Z</dcterms:created>
  <dcterms:modified xsi:type="dcterms:W3CDTF">2016-10-26T16:51:00Z</dcterms:modified>
</cp:coreProperties>
</file>