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76" w:rsidRPr="00647F7C" w:rsidRDefault="006B6475" w:rsidP="00271095">
      <w:pPr>
        <w:spacing w:before="0"/>
        <w:rPr>
          <w:iCs/>
          <w:color w:val="4F6228"/>
          <w:sz w:val="36"/>
          <w:szCs w:val="36"/>
        </w:rPr>
      </w:pPr>
      <w:r>
        <w:rPr>
          <w:noProof/>
          <w:lang w:val="en-GB" w:eastAsia="en-GB"/>
        </w:rPr>
        <mc:AlternateContent>
          <mc:Choice Requires="wps">
            <w:drawing>
              <wp:anchor distT="0" distB="0" distL="114300" distR="114300" simplePos="0" relativeHeight="251659264" behindDoc="0" locked="0" layoutInCell="1" allowOverlap="1" wp14:anchorId="15E1D898" wp14:editId="1C084B41">
                <wp:simplePos x="0" y="0"/>
                <wp:positionH relativeFrom="column">
                  <wp:posOffset>4743451</wp:posOffset>
                </wp:positionH>
                <wp:positionV relativeFrom="paragraph">
                  <wp:posOffset>-1216660</wp:posOffset>
                </wp:positionV>
                <wp:extent cx="1965960" cy="431800"/>
                <wp:effectExtent l="19050" t="19050" r="34290" b="635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318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C3191D" w:rsidRPr="00D05CAF" w:rsidRDefault="00C3191D" w:rsidP="006B6475">
                            <w:pPr>
                              <w:rPr>
                                <w:color w:val="FFFF00"/>
                              </w:rPr>
                            </w:pPr>
                            <w:r>
                              <w:rPr>
                                <w:color w:val="FFFF00"/>
                              </w:rPr>
                              <w:t>PACA/SCMXX/ Aug16/XX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3.5pt;margin-top:-95.8pt;width:154.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" fillcolor="#9bbb59 [3206]" strokecolor="#f2f2f2 [3041]" strokeweight="3pt">
                <v:shadow on="t" color="#4e6128 [1606]" opacity=".5" offset="1pt"/>
                <v:textbox>
                  <w:txbxContent>
                    <w:p w:rsidR="00C3191D" w:rsidRPr="00D05CAF" w:rsidRDefault="00C3191D" w:rsidP="006B6475">
                      <w:pPr>
                        <w:rPr>
                          <w:color w:val="FFFF00"/>
                        </w:rPr>
                      </w:pPr>
                      <w:r>
                        <w:rPr>
                          <w:color w:val="FFFF00"/>
                        </w:rPr>
                        <w:t>PACA/SCMXX/ Aug16/XX</w:t>
                      </w:r>
                    </w:p>
                  </w:txbxContent>
                </v:textbox>
              </v:shape>
            </w:pict>
          </mc:Fallback>
        </mc:AlternateContent>
      </w:r>
      <w:r w:rsidR="001678D0">
        <w:rPr>
          <w:iCs/>
          <w:color w:val="4F6228"/>
          <w:sz w:val="36"/>
          <w:szCs w:val="36"/>
        </w:rPr>
        <w:t>PACA R</w:t>
      </w:r>
      <w:r w:rsidR="003472EF" w:rsidRPr="00647F7C">
        <w:rPr>
          <w:iCs/>
          <w:color w:val="4F6228"/>
          <w:sz w:val="36"/>
          <w:szCs w:val="36"/>
        </w:rPr>
        <w:t>egional</w:t>
      </w:r>
      <w:r w:rsidR="001678D0">
        <w:rPr>
          <w:iCs/>
          <w:color w:val="4F6228"/>
          <w:sz w:val="36"/>
          <w:szCs w:val="36"/>
        </w:rPr>
        <w:t xml:space="preserve"> and Country A</w:t>
      </w:r>
      <w:r w:rsidR="006E60B3" w:rsidRPr="00647F7C">
        <w:rPr>
          <w:iCs/>
          <w:color w:val="4F6228"/>
          <w:sz w:val="36"/>
          <w:szCs w:val="36"/>
        </w:rPr>
        <w:t>ctivitie</w:t>
      </w:r>
      <w:r w:rsidR="000F0307" w:rsidRPr="00647F7C">
        <w:rPr>
          <w:iCs/>
          <w:color w:val="4F6228"/>
          <w:sz w:val="36"/>
          <w:szCs w:val="36"/>
        </w:rPr>
        <w:t>s</w:t>
      </w:r>
      <w:r w:rsidR="001678D0">
        <w:rPr>
          <w:iCs/>
          <w:color w:val="4F6228"/>
          <w:sz w:val="36"/>
          <w:szCs w:val="36"/>
        </w:rPr>
        <w:t xml:space="preserve"> R</w:t>
      </w:r>
      <w:r w:rsidR="005A24F3" w:rsidRPr="00647F7C">
        <w:rPr>
          <w:iCs/>
          <w:color w:val="4F6228"/>
          <w:sz w:val="36"/>
          <w:szCs w:val="36"/>
        </w:rPr>
        <w:t>eport</w:t>
      </w:r>
      <w:r w:rsidR="002C2071">
        <w:rPr>
          <w:iCs/>
          <w:color w:val="4F6228"/>
          <w:sz w:val="36"/>
          <w:szCs w:val="36"/>
        </w:rPr>
        <w:t xml:space="preserve"> (January-June 2016)</w:t>
      </w:r>
    </w:p>
    <w:p w:rsidR="0095570C" w:rsidRPr="00652B76" w:rsidRDefault="001678D0" w:rsidP="00271095">
      <w:pPr>
        <w:spacing w:before="0"/>
        <w:rPr>
          <w:b/>
          <w:i/>
          <w:iCs/>
          <w:color w:val="4F6228"/>
          <w:sz w:val="28"/>
          <w:szCs w:val="28"/>
        </w:rPr>
      </w:pPr>
      <w:r>
        <w:rPr>
          <w:b/>
          <w:i/>
          <w:iCs/>
          <w:color w:val="4F6228"/>
          <w:sz w:val="28"/>
          <w:szCs w:val="28"/>
        </w:rPr>
        <w:t>Malawi, Tanzania, Uganda</w:t>
      </w:r>
    </w:p>
    <w:p w:rsidR="006F360F" w:rsidRPr="00652B76" w:rsidRDefault="006F360F" w:rsidP="006F360F">
      <w:pPr>
        <w:pBdr>
          <w:bottom w:val="single" w:sz="6" w:space="1" w:color="auto"/>
        </w:pBdr>
        <w:spacing w:before="0" w:after="200" w:line="276" w:lineRule="auto"/>
        <w:contextualSpacing/>
        <w:rPr>
          <w:rFonts w:eastAsiaTheme="minorHAnsi" w:cstheme="minorHAnsi"/>
          <w:sz w:val="24"/>
          <w:szCs w:val="24"/>
        </w:rPr>
      </w:pPr>
    </w:p>
    <w:p w:rsidR="00271095" w:rsidRPr="00652B76" w:rsidRDefault="00271095" w:rsidP="00271095">
      <w:pPr>
        <w:spacing w:before="0"/>
        <w:rPr>
          <w:rFonts w:cs="Arial"/>
          <w:b/>
          <w:i/>
          <w:iCs/>
          <w:color w:val="4F6228"/>
          <w:sz w:val="24"/>
          <w:szCs w:val="24"/>
        </w:rPr>
      </w:pPr>
    </w:p>
    <w:p w:rsidR="004D30E2" w:rsidRPr="004305EE" w:rsidRDefault="00271095" w:rsidP="005E1B68">
      <w:pPr>
        <w:pStyle w:val="ListParagraph"/>
        <w:numPr>
          <w:ilvl w:val="0"/>
          <w:numId w:val="2"/>
        </w:numPr>
        <w:spacing w:before="0"/>
        <w:jc w:val="both"/>
        <w:rPr>
          <w:rFonts w:cs="Arial"/>
          <w:b/>
          <w:iCs/>
          <w:color w:val="4F6228"/>
          <w:sz w:val="24"/>
          <w:szCs w:val="24"/>
        </w:rPr>
      </w:pPr>
      <w:r w:rsidRPr="004305EE">
        <w:rPr>
          <w:rFonts w:cs="Arial"/>
          <w:b/>
          <w:iCs/>
          <w:color w:val="4F6228"/>
          <w:sz w:val="24"/>
          <w:szCs w:val="24"/>
        </w:rPr>
        <w:t>Background</w:t>
      </w:r>
    </w:p>
    <w:p w:rsidR="000322C3" w:rsidRDefault="000322C3" w:rsidP="005E1B68">
      <w:pPr>
        <w:spacing w:before="0"/>
        <w:jc w:val="both"/>
      </w:pPr>
      <w:r w:rsidRPr="000322C3">
        <w:t xml:space="preserve">Governments are central to controlling aflatoxin contamination and exposure, as they have a wide sphere of influence over other key stakeholders, as a result, governments have the ability to change behaviors and set priorities across these stakeholders by enacting and enforcing policies, standards, and regulations; launching capacity building initiatives; and implementing awareness campaigns. Therefore, the PACA Secretariat housed at the African Union Commission, achieves systemic change by improving the effectiveness and efficiency of governments to tackle the aflatoxin challenge in Africa. PACA Secretariat </w:t>
      </w:r>
      <w:r w:rsidR="000578E4">
        <w:t xml:space="preserve">forges the necessary </w:t>
      </w:r>
      <w:r w:rsidRPr="000322C3">
        <w:t>partnerships and working relationships with key stakeholders involved in aflatoxin control (e.g., R</w:t>
      </w:r>
      <w:r w:rsidR="00AA7075">
        <w:t xml:space="preserve">egional </w:t>
      </w:r>
      <w:r w:rsidRPr="000322C3">
        <w:t>E</w:t>
      </w:r>
      <w:r w:rsidR="00AA7075">
        <w:t xml:space="preserve">conomic </w:t>
      </w:r>
      <w:r w:rsidRPr="000322C3">
        <w:t>C</w:t>
      </w:r>
      <w:r w:rsidR="00546804">
        <w:t>ommunities-</w:t>
      </w:r>
      <w:r w:rsidR="00AA7075">
        <w:t>REC</w:t>
      </w:r>
      <w:r w:rsidRPr="000322C3">
        <w:t xml:space="preserve">s, private sector actors, NGOs, development partners) to comprehensively support selected governments of Africa in addressing aflatoxin on the continent. </w:t>
      </w:r>
      <w:r>
        <w:t xml:space="preserve">In East and Southern Africa, PACA is supporting Malawi, Tanzania and Uganda </w:t>
      </w:r>
      <w:r w:rsidR="000578E4">
        <w:t xml:space="preserve">and working closely with </w:t>
      </w:r>
      <w:r>
        <w:t>the Common Market for Eastern and Southern Africa (COMESA), the East African Community (EAC) and the Southern Africa</w:t>
      </w:r>
      <w:r w:rsidR="000578E4">
        <w:t>n</w:t>
      </w:r>
      <w:r>
        <w:t xml:space="preserve"> Development </w:t>
      </w:r>
      <w:r w:rsidR="000578E4">
        <w:t>Community</w:t>
      </w:r>
      <w:r>
        <w:t xml:space="preserve"> </w:t>
      </w:r>
      <w:r w:rsidR="000578E4">
        <w:t xml:space="preserve">(SADC) to tackle aflatoxins in the region. </w:t>
      </w:r>
    </w:p>
    <w:p w:rsidR="005B34BB" w:rsidRDefault="005B34BB" w:rsidP="005B34BB">
      <w:pPr>
        <w:spacing w:before="120"/>
      </w:pPr>
      <w:r>
        <w:t xml:space="preserve">Therefore, </w:t>
      </w:r>
      <w:r w:rsidRPr="005B34BB">
        <w:t>PACA</w:t>
      </w:r>
      <w:r>
        <w:t xml:space="preserve"> supports countries to:</w:t>
      </w:r>
    </w:p>
    <w:p w:rsidR="005B34BB" w:rsidRPr="005B34BB" w:rsidRDefault="005B34BB" w:rsidP="00D80A85">
      <w:pPr>
        <w:pStyle w:val="ListParagraph"/>
        <w:numPr>
          <w:ilvl w:val="0"/>
          <w:numId w:val="1"/>
        </w:numPr>
        <w:spacing w:before="120"/>
        <w:rPr>
          <w:bCs/>
        </w:rPr>
      </w:pPr>
      <w:r>
        <w:t xml:space="preserve">Develop </w:t>
      </w:r>
      <w:r w:rsidR="00546804">
        <w:t>comprehensive g</w:t>
      </w:r>
      <w:r w:rsidRPr="005B34BB">
        <w:t xml:space="preserve">overnment-led, stakeholder aligned aflatoxin control action plans </w:t>
      </w:r>
      <w:r>
        <w:t>(</w:t>
      </w:r>
      <w:r w:rsidRPr="005B34BB">
        <w:t>at national level</w:t>
      </w:r>
      <w:r>
        <w:t xml:space="preserve"> and regional level)</w:t>
      </w:r>
    </w:p>
    <w:p w:rsidR="005B34BB" w:rsidRPr="005B34BB" w:rsidRDefault="005B34BB" w:rsidP="00D80A85">
      <w:pPr>
        <w:pStyle w:val="ListParagraph"/>
        <w:numPr>
          <w:ilvl w:val="0"/>
          <w:numId w:val="1"/>
        </w:numPr>
        <w:spacing w:before="120"/>
        <w:rPr>
          <w:bCs/>
        </w:rPr>
      </w:pPr>
      <w:r>
        <w:rPr>
          <w:bCs/>
        </w:rPr>
        <w:t>C</w:t>
      </w:r>
      <w:r w:rsidRPr="005B34BB">
        <w:rPr>
          <w:bCs/>
        </w:rPr>
        <w:t>onduct Country-Led Situational Analysis and Action Plan (CSAAP)</w:t>
      </w:r>
      <w:r>
        <w:rPr>
          <w:bCs/>
        </w:rPr>
        <w:t xml:space="preserve"> to inform the national plans</w:t>
      </w:r>
    </w:p>
    <w:p w:rsidR="005B34BB" w:rsidRDefault="005B34BB" w:rsidP="00D80A85">
      <w:pPr>
        <w:pStyle w:val="ListParagraph"/>
        <w:numPr>
          <w:ilvl w:val="0"/>
          <w:numId w:val="1"/>
        </w:numPr>
        <w:spacing w:before="120"/>
        <w:rPr>
          <w:bCs/>
        </w:rPr>
      </w:pPr>
      <w:r>
        <w:rPr>
          <w:bCs/>
        </w:rPr>
        <w:t>E</w:t>
      </w:r>
      <w:r w:rsidRPr="005B34BB">
        <w:rPr>
          <w:bCs/>
        </w:rPr>
        <w:t>stablish</w:t>
      </w:r>
      <w:r w:rsidR="00647087" w:rsidRPr="005B34BB">
        <w:rPr>
          <w:bCs/>
        </w:rPr>
        <w:t xml:space="preserve"> an Africa Aflatoxin Information Management System (AfricaAIMS)</w:t>
      </w:r>
    </w:p>
    <w:p w:rsidR="00647087" w:rsidRPr="005B34BB" w:rsidRDefault="00647087" w:rsidP="00D80A85">
      <w:pPr>
        <w:pStyle w:val="ListParagraph"/>
        <w:numPr>
          <w:ilvl w:val="0"/>
          <w:numId w:val="1"/>
        </w:numPr>
        <w:spacing w:before="120"/>
        <w:rPr>
          <w:bCs/>
        </w:rPr>
      </w:pPr>
      <w:r w:rsidRPr="005B34BB">
        <w:rPr>
          <w:bCs/>
        </w:rPr>
        <w:t>Mainstreaming Food Safety and aflatoxin control in National Agriculture Investment Plans (NAFSIPs)</w:t>
      </w:r>
      <w:r w:rsidR="005B34BB">
        <w:rPr>
          <w:bCs/>
        </w:rPr>
        <w:t xml:space="preserve"> </w:t>
      </w:r>
    </w:p>
    <w:p w:rsidR="00AA7075" w:rsidRDefault="00AA7075" w:rsidP="00AA7075">
      <w:pPr>
        <w:jc w:val="both"/>
        <w:rPr>
          <w:rFonts w:cs="Calibri"/>
          <w:color w:val="000000"/>
        </w:rPr>
      </w:pPr>
      <w:r w:rsidRPr="00AA7075">
        <w:rPr>
          <w:rFonts w:cs="Calibri"/>
          <w:color w:val="000000"/>
        </w:rPr>
        <w:t>This report highlights</w:t>
      </w:r>
      <w:r>
        <w:rPr>
          <w:rFonts w:cs="Calibri"/>
          <w:color w:val="000000"/>
        </w:rPr>
        <w:t xml:space="preserve"> achievements </w:t>
      </w:r>
      <w:r w:rsidRPr="00AA7075">
        <w:rPr>
          <w:rFonts w:cs="Calibri"/>
          <w:color w:val="000000"/>
        </w:rPr>
        <w:t xml:space="preserve">and challenges </w:t>
      </w:r>
      <w:r>
        <w:rPr>
          <w:rFonts w:cs="Calibri"/>
          <w:color w:val="000000"/>
        </w:rPr>
        <w:t>of</w:t>
      </w:r>
      <w:r w:rsidRPr="00AA7075">
        <w:rPr>
          <w:rFonts w:cs="Calibri"/>
          <w:color w:val="000000"/>
        </w:rPr>
        <w:t xml:space="preserve"> implementing PACA activities in the east and southern part of Africa, particularly </w:t>
      </w:r>
      <w:r>
        <w:rPr>
          <w:rFonts w:cs="Calibri"/>
          <w:color w:val="000000"/>
        </w:rPr>
        <w:t>in Malawi, Tanzania and U</w:t>
      </w:r>
      <w:r w:rsidR="000E35DD">
        <w:rPr>
          <w:rFonts w:cs="Calibri"/>
          <w:color w:val="000000"/>
        </w:rPr>
        <w:t xml:space="preserve">ganda and their respective RECs for the period January-June 2016. </w:t>
      </w:r>
    </w:p>
    <w:p w:rsidR="005E1B68" w:rsidRPr="00AA7075" w:rsidRDefault="005E1B68" w:rsidP="00AA7075">
      <w:pPr>
        <w:jc w:val="both"/>
        <w:rPr>
          <w:rFonts w:cs="Calibri"/>
          <w:color w:val="000000"/>
        </w:rPr>
      </w:pPr>
    </w:p>
    <w:p w:rsidR="00AA7075" w:rsidRDefault="003C5FA6" w:rsidP="00D80A85">
      <w:pPr>
        <w:pStyle w:val="ListParagraph"/>
        <w:numPr>
          <w:ilvl w:val="0"/>
          <w:numId w:val="2"/>
        </w:numPr>
        <w:spacing w:before="0"/>
        <w:jc w:val="both"/>
        <w:rPr>
          <w:rFonts w:eastAsia="Calibri"/>
          <w:b/>
          <w:color w:val="4F6228" w:themeColor="accent3" w:themeShade="80"/>
        </w:rPr>
      </w:pPr>
      <w:r w:rsidRPr="008F7BB2">
        <w:rPr>
          <w:rFonts w:eastAsia="Calibri"/>
          <w:b/>
          <w:color w:val="4F6228" w:themeColor="accent3" w:themeShade="80"/>
        </w:rPr>
        <w:t>R</w:t>
      </w:r>
      <w:r w:rsidR="00AA7075" w:rsidRPr="008F7BB2">
        <w:rPr>
          <w:rFonts w:eastAsia="Calibri"/>
          <w:b/>
          <w:color w:val="4F6228" w:themeColor="accent3" w:themeShade="80"/>
        </w:rPr>
        <w:t>egional Activities</w:t>
      </w:r>
    </w:p>
    <w:p w:rsidR="008F7BB2" w:rsidRDefault="008F7BB2" w:rsidP="008F7BB2">
      <w:pPr>
        <w:spacing w:before="0"/>
        <w:jc w:val="both"/>
        <w:rPr>
          <w:lang w:eastAsia="en-GB"/>
        </w:rPr>
      </w:pPr>
      <w:r w:rsidRPr="005F2CB7">
        <w:rPr>
          <w:lang w:eastAsia="en-GB"/>
        </w:rPr>
        <w:t xml:space="preserve">Below are the activities that </w:t>
      </w:r>
      <w:r>
        <w:rPr>
          <w:lang w:eastAsia="en-GB"/>
        </w:rPr>
        <w:t>the PACA Secretariat implemented from January to June 2016</w:t>
      </w:r>
      <w:r w:rsidRPr="005F2CB7">
        <w:rPr>
          <w:lang w:eastAsia="en-GB"/>
        </w:rPr>
        <w:t xml:space="preserve"> with </w:t>
      </w:r>
      <w:r>
        <w:rPr>
          <w:lang w:eastAsia="en-GB"/>
        </w:rPr>
        <w:t>RECs</w:t>
      </w:r>
      <w:r w:rsidRPr="005F2CB7">
        <w:rPr>
          <w:lang w:eastAsia="en-GB"/>
        </w:rPr>
        <w:t xml:space="preserve"> in the tripartite region</w:t>
      </w:r>
      <w:r>
        <w:rPr>
          <w:lang w:eastAsia="en-GB"/>
        </w:rPr>
        <w:t xml:space="preserve"> – COMESA, EAC and SADC.</w:t>
      </w:r>
      <w:r w:rsidRPr="005F2CB7">
        <w:rPr>
          <w:lang w:eastAsia="en-GB"/>
        </w:rPr>
        <w:t xml:space="preserve"> </w:t>
      </w:r>
    </w:p>
    <w:p w:rsidR="008F7BB2" w:rsidRDefault="008F7BB2" w:rsidP="008F7BB2">
      <w:pPr>
        <w:spacing w:after="240"/>
        <w:jc w:val="both"/>
        <w:rPr>
          <w:rFonts w:cs="Arial"/>
        </w:rPr>
      </w:pPr>
    </w:p>
    <w:p w:rsidR="005E1B68" w:rsidRPr="008F7BB2" w:rsidRDefault="005E1B68" w:rsidP="008F7BB2">
      <w:pPr>
        <w:spacing w:after="240"/>
        <w:jc w:val="both"/>
        <w:rPr>
          <w:rFonts w:cs="Arial"/>
        </w:rPr>
      </w:pPr>
    </w:p>
    <w:p w:rsidR="008F7BB2" w:rsidRPr="008F7BB2" w:rsidRDefault="008F7BB2" w:rsidP="00D80A85">
      <w:pPr>
        <w:pStyle w:val="ListParagraph"/>
        <w:numPr>
          <w:ilvl w:val="1"/>
          <w:numId w:val="2"/>
        </w:numPr>
        <w:spacing w:before="0"/>
        <w:jc w:val="both"/>
        <w:rPr>
          <w:rFonts w:eastAsia="Calibri"/>
          <w:b/>
          <w:i/>
          <w:color w:val="4F6228" w:themeColor="accent3" w:themeShade="80"/>
        </w:rPr>
      </w:pPr>
      <w:r w:rsidRPr="008F7BB2">
        <w:rPr>
          <w:rFonts w:eastAsia="Calibri"/>
          <w:b/>
          <w:i/>
          <w:color w:val="4F6228" w:themeColor="accent3" w:themeShade="80"/>
        </w:rPr>
        <w:t>COMESA</w:t>
      </w:r>
      <w:r w:rsidR="001E2F47">
        <w:rPr>
          <w:rFonts w:eastAsia="Calibri"/>
          <w:b/>
          <w:i/>
          <w:color w:val="4F6228" w:themeColor="accent3" w:themeShade="80"/>
        </w:rPr>
        <w:t xml:space="preserve"> Region</w:t>
      </w:r>
    </w:p>
    <w:p w:rsidR="008F7BB2" w:rsidRDefault="008F7BB2" w:rsidP="00670934">
      <w:pPr>
        <w:spacing w:before="0"/>
        <w:jc w:val="both"/>
        <w:rPr>
          <w:rFonts w:cs="Arial"/>
        </w:rPr>
      </w:pPr>
      <w:r w:rsidRPr="008F7BB2">
        <w:rPr>
          <w:rFonts w:cs="Arial"/>
        </w:rPr>
        <w:t xml:space="preserve">Based on the PACA-COMESA Regional Workshop on Aflatoxin Challenge in Eastern and Southern Africa held in Lilongwe, 11-13 March 2014, PACA </w:t>
      </w:r>
      <w:r w:rsidR="001E2F47">
        <w:rPr>
          <w:rFonts w:cs="Arial"/>
        </w:rPr>
        <w:t xml:space="preserve">continued to work with </w:t>
      </w:r>
      <w:r w:rsidRPr="008F7BB2">
        <w:rPr>
          <w:rFonts w:cs="Arial"/>
        </w:rPr>
        <w:t xml:space="preserve">COMESA to develop a regional aflatoxin strategy.  </w:t>
      </w:r>
      <w:r>
        <w:rPr>
          <w:rFonts w:cs="Arial"/>
        </w:rPr>
        <w:t xml:space="preserve">Due to unavailability of the selected consultant </w:t>
      </w:r>
      <w:r w:rsidRPr="00AD1E21">
        <w:rPr>
          <w:rFonts w:cs="Arial"/>
        </w:rPr>
        <w:t xml:space="preserve">to </w:t>
      </w:r>
      <w:r>
        <w:rPr>
          <w:rFonts w:cs="Arial"/>
        </w:rPr>
        <w:t xml:space="preserve">support development of the regional strategy, </w:t>
      </w:r>
      <w:r w:rsidR="00546804">
        <w:rPr>
          <w:rFonts w:cs="Arial"/>
        </w:rPr>
        <w:t>COMESA Human R</w:t>
      </w:r>
      <w:r w:rsidR="001E2F47">
        <w:rPr>
          <w:rFonts w:cs="Arial"/>
        </w:rPr>
        <w:t>esource</w:t>
      </w:r>
      <w:r w:rsidR="00546804">
        <w:rPr>
          <w:rFonts w:cs="Arial"/>
        </w:rPr>
        <w:t>s t</w:t>
      </w:r>
      <w:r w:rsidR="001E2F47">
        <w:rPr>
          <w:rFonts w:cs="Arial"/>
        </w:rPr>
        <w:t>eam</w:t>
      </w:r>
      <w:r w:rsidRPr="00AD1E21">
        <w:rPr>
          <w:rFonts w:cs="Arial"/>
        </w:rPr>
        <w:t xml:space="preserve"> reinitiated the selection process.</w:t>
      </w:r>
      <w:r>
        <w:rPr>
          <w:rFonts w:cs="Arial"/>
        </w:rPr>
        <w:t xml:space="preserve"> In June</w:t>
      </w:r>
      <w:r w:rsidR="00546804">
        <w:rPr>
          <w:rFonts w:cs="Arial"/>
        </w:rPr>
        <w:t xml:space="preserve"> 2016,</w:t>
      </w:r>
      <w:r>
        <w:rPr>
          <w:rFonts w:cs="Arial"/>
        </w:rPr>
        <w:t xml:space="preserve"> </w:t>
      </w:r>
      <w:r w:rsidRPr="00964DBE">
        <w:rPr>
          <w:rFonts w:cs="Arial"/>
        </w:rPr>
        <w:t>PACA Secretariat wor</w:t>
      </w:r>
      <w:r>
        <w:rPr>
          <w:rFonts w:cs="Arial"/>
        </w:rPr>
        <w:t>ked with COMESA in selecting a</w:t>
      </w:r>
      <w:r w:rsidRPr="00964DBE">
        <w:rPr>
          <w:rFonts w:cs="Arial"/>
        </w:rPr>
        <w:t xml:space="preserve"> suitable candidate</w:t>
      </w:r>
      <w:r>
        <w:rPr>
          <w:rFonts w:cs="Arial"/>
        </w:rPr>
        <w:t xml:space="preserve"> </w:t>
      </w:r>
      <w:r w:rsidRPr="00964DBE">
        <w:rPr>
          <w:rFonts w:cs="Arial"/>
        </w:rPr>
        <w:t xml:space="preserve">to finalize the </w:t>
      </w:r>
      <w:r>
        <w:rPr>
          <w:rFonts w:cs="Arial"/>
        </w:rPr>
        <w:t>strategy work.</w:t>
      </w:r>
      <w:r w:rsidR="001E2F47">
        <w:rPr>
          <w:rFonts w:cs="Arial"/>
        </w:rPr>
        <w:t xml:space="preserve"> </w:t>
      </w:r>
      <w:r w:rsidRPr="00AD1E21">
        <w:rPr>
          <w:rFonts w:cs="Arial"/>
        </w:rPr>
        <w:t xml:space="preserve">PACA and COMESA Secretariat will work closely with the consultant selected to develop the regional aflatoxin control </w:t>
      </w:r>
      <w:r>
        <w:rPr>
          <w:rFonts w:cs="Arial"/>
        </w:rPr>
        <w:t xml:space="preserve">strategy and </w:t>
      </w:r>
      <w:r w:rsidRPr="00AD1E21">
        <w:rPr>
          <w:rFonts w:cs="Arial"/>
        </w:rPr>
        <w:t>action plan for mainstreaming into the COMESA strategic documents</w:t>
      </w:r>
      <w:r>
        <w:rPr>
          <w:rFonts w:cs="Arial"/>
        </w:rPr>
        <w:t xml:space="preserve"> (the target is to validate the regional strategy and action plan at PACA </w:t>
      </w:r>
      <w:r w:rsidR="00546804">
        <w:rPr>
          <w:rFonts w:cs="Arial"/>
        </w:rPr>
        <w:t>2</w:t>
      </w:r>
      <w:r w:rsidR="00546804" w:rsidRPr="00546804">
        <w:rPr>
          <w:rFonts w:cs="Arial"/>
          <w:vertAlign w:val="superscript"/>
        </w:rPr>
        <w:t>nd</w:t>
      </w:r>
      <w:r w:rsidR="00546804">
        <w:rPr>
          <w:rFonts w:cs="Arial"/>
        </w:rPr>
        <w:t xml:space="preserve"> </w:t>
      </w:r>
      <w:r>
        <w:rPr>
          <w:rFonts w:cs="Arial"/>
        </w:rPr>
        <w:t>P</w:t>
      </w:r>
      <w:r w:rsidR="00546804">
        <w:rPr>
          <w:rFonts w:cs="Arial"/>
        </w:rPr>
        <w:t xml:space="preserve">ACA </w:t>
      </w:r>
      <w:r>
        <w:rPr>
          <w:rFonts w:cs="Arial"/>
        </w:rPr>
        <w:t>P</w:t>
      </w:r>
      <w:r w:rsidR="00546804">
        <w:rPr>
          <w:rFonts w:cs="Arial"/>
        </w:rPr>
        <w:t xml:space="preserve">artnership Platform </w:t>
      </w:r>
      <w:r>
        <w:rPr>
          <w:rFonts w:cs="Arial"/>
        </w:rPr>
        <w:t>M</w:t>
      </w:r>
      <w:r w:rsidR="00546804">
        <w:rPr>
          <w:rFonts w:cs="Arial"/>
        </w:rPr>
        <w:t>eeting in October 2016</w:t>
      </w:r>
      <w:r>
        <w:rPr>
          <w:rFonts w:cs="Arial"/>
        </w:rPr>
        <w:t>)</w:t>
      </w:r>
      <w:r w:rsidRPr="00AD1E21">
        <w:rPr>
          <w:rFonts w:cs="Arial"/>
        </w:rPr>
        <w:t>.</w:t>
      </w:r>
    </w:p>
    <w:p w:rsidR="008F7BB2" w:rsidRPr="00E9320C" w:rsidRDefault="008F7BB2" w:rsidP="008F7BB2">
      <w:pPr>
        <w:spacing w:before="0"/>
        <w:ind w:left="360"/>
        <w:jc w:val="both"/>
        <w:rPr>
          <w:rFonts w:cs="Arial"/>
        </w:rPr>
      </w:pPr>
    </w:p>
    <w:p w:rsidR="008F7BB2" w:rsidRPr="001E2F47" w:rsidRDefault="008F7BB2" w:rsidP="00D80A85">
      <w:pPr>
        <w:pStyle w:val="ListParagraph"/>
        <w:numPr>
          <w:ilvl w:val="1"/>
          <w:numId w:val="2"/>
        </w:numPr>
        <w:spacing w:before="0"/>
        <w:jc w:val="both"/>
        <w:rPr>
          <w:rFonts w:eastAsia="Calibri"/>
          <w:b/>
          <w:i/>
          <w:color w:val="4F6228" w:themeColor="accent3" w:themeShade="80"/>
        </w:rPr>
      </w:pPr>
      <w:r w:rsidRPr="001E2F47">
        <w:rPr>
          <w:rFonts w:eastAsia="Calibri"/>
          <w:b/>
          <w:i/>
          <w:color w:val="4F6228" w:themeColor="accent3" w:themeShade="80"/>
        </w:rPr>
        <w:t>EAC Region</w:t>
      </w:r>
    </w:p>
    <w:p w:rsidR="001E2F47" w:rsidRDefault="008F7BB2" w:rsidP="00670934">
      <w:pPr>
        <w:spacing w:before="0"/>
        <w:jc w:val="both"/>
        <w:rPr>
          <w:rFonts w:cs="Arial"/>
        </w:rPr>
      </w:pPr>
      <w:r w:rsidRPr="00067256">
        <w:rPr>
          <w:rFonts w:cs="Arial"/>
        </w:rPr>
        <w:t xml:space="preserve">The East African Community (EAC) and its partner States have identified aflatoxin as a priority challenge to agricultural and economic development in the region. </w:t>
      </w:r>
      <w:r>
        <w:rPr>
          <w:rFonts w:cs="Arial"/>
        </w:rPr>
        <w:t>T</w:t>
      </w:r>
      <w:r w:rsidRPr="00067256">
        <w:rPr>
          <w:rFonts w:cs="Arial"/>
        </w:rPr>
        <w:t>he EAC and partners States developed a Regional Aflatoxin Prevention and Control Strategy and Action Plan (2017-2021). The strategy and action plan was informed by research through a series of thematic technical papers developed with the research and policy community. The Strategy and Action plan is aligned to the PACA Continental Strategy and other framewor</w:t>
      </w:r>
      <w:r w:rsidR="000471DF">
        <w:rPr>
          <w:rFonts w:cs="Arial"/>
        </w:rPr>
        <w:t>ks</w:t>
      </w:r>
      <w:r w:rsidR="00861A85">
        <w:rPr>
          <w:rFonts w:cs="Arial"/>
        </w:rPr>
        <w:t xml:space="preserve"> such as the Malabo Declaration</w:t>
      </w:r>
      <w:r w:rsidR="000471DF">
        <w:rPr>
          <w:rFonts w:cs="Arial"/>
        </w:rPr>
        <w:t>. EAC validated its Regional Aflatoxin Control Action P</w:t>
      </w:r>
      <w:r w:rsidRPr="00067256">
        <w:rPr>
          <w:rFonts w:cs="Arial"/>
        </w:rPr>
        <w:t>lan in Kampala, Uganda from 28-30 June 2016</w:t>
      </w:r>
      <w:r w:rsidR="00861A85">
        <w:rPr>
          <w:rFonts w:cs="Arial"/>
        </w:rPr>
        <w:t>. The validation workshop included various stakeholders such as the</w:t>
      </w:r>
      <w:r w:rsidRPr="00067256">
        <w:rPr>
          <w:rFonts w:cs="Arial"/>
        </w:rPr>
        <w:t xml:space="preserve"> EAC partners States, the African Union Commission</w:t>
      </w:r>
      <w:r>
        <w:rPr>
          <w:rFonts w:cs="Arial"/>
        </w:rPr>
        <w:t xml:space="preserve"> - </w:t>
      </w:r>
      <w:r w:rsidRPr="00067256">
        <w:rPr>
          <w:rFonts w:cs="Arial"/>
        </w:rPr>
        <w:t xml:space="preserve">PACA Secretariat, the Private Sector Eastern Africa Grain Council (EAGC); the East African Farmers Federation (EAFF), USAID and IITA (who are also members of PACA Steering Committee). </w:t>
      </w:r>
    </w:p>
    <w:p w:rsidR="008F7BB2" w:rsidRPr="00670934" w:rsidRDefault="008F7BB2" w:rsidP="00670934">
      <w:pPr>
        <w:spacing w:after="240"/>
        <w:jc w:val="both"/>
        <w:rPr>
          <w:rFonts w:cs="Arial"/>
        </w:rPr>
      </w:pPr>
      <w:proofErr w:type="gramStart"/>
      <w:r w:rsidRPr="00AD1E21">
        <w:rPr>
          <w:rFonts w:cs="Arial"/>
        </w:rPr>
        <w:t>PACA</w:t>
      </w:r>
      <w:proofErr w:type="gramEnd"/>
      <w:r w:rsidRPr="00AD1E21">
        <w:rPr>
          <w:rFonts w:cs="Arial"/>
        </w:rPr>
        <w:t xml:space="preserve"> Secretariat </w:t>
      </w:r>
      <w:r w:rsidR="001E2F47">
        <w:rPr>
          <w:rFonts w:cs="Arial"/>
        </w:rPr>
        <w:t xml:space="preserve">will </w:t>
      </w:r>
      <w:r w:rsidRPr="00AD1E21">
        <w:rPr>
          <w:rFonts w:cs="Arial"/>
        </w:rPr>
        <w:t xml:space="preserve">continue working with EAC to ensure that aflatoxins </w:t>
      </w:r>
      <w:r w:rsidR="000471DF">
        <w:rPr>
          <w:rFonts w:cs="Arial"/>
        </w:rPr>
        <w:t xml:space="preserve">prevention and control of aflatoxins is </w:t>
      </w:r>
      <w:r w:rsidRPr="00AD1E21">
        <w:rPr>
          <w:rFonts w:cs="Arial"/>
        </w:rPr>
        <w:t>adequately mainstreamed into CAADP aligned Regional Agriculture Investment Plan (RAIP) of EAC and contribute to the development of regional aflatoxin policy briefs for wide dissemination</w:t>
      </w:r>
      <w:r w:rsidR="001E2F47">
        <w:rPr>
          <w:rFonts w:cs="Arial"/>
        </w:rPr>
        <w:t>. Furthermore, Secretariat will f</w:t>
      </w:r>
      <w:r w:rsidRPr="00AD1E21">
        <w:rPr>
          <w:rFonts w:cs="Arial"/>
        </w:rPr>
        <w:t>ollow up with FAO to support the development of a proposal for mainstreaming food safety and aflatoxins in the regional RAIPs and national NAIPS.</w:t>
      </w:r>
      <w:r w:rsidR="001E2F47">
        <w:rPr>
          <w:rFonts w:cs="Arial"/>
        </w:rPr>
        <w:t xml:space="preserve"> This will feed into the </w:t>
      </w:r>
      <w:r w:rsidRPr="00AD1E21">
        <w:rPr>
          <w:rFonts w:cs="Arial"/>
        </w:rPr>
        <w:t>AUC</w:t>
      </w:r>
      <w:r w:rsidR="00186AE6">
        <w:rPr>
          <w:rFonts w:cs="Arial"/>
        </w:rPr>
        <w:t xml:space="preserve">’s efforts </w:t>
      </w:r>
      <w:r w:rsidRPr="00AD1E21">
        <w:rPr>
          <w:rFonts w:cs="Arial"/>
        </w:rPr>
        <w:t>to embed aflatoxin control and food safety in the review and development of second generation NAIPs achieving broader geog</w:t>
      </w:r>
      <w:r w:rsidR="00670934">
        <w:rPr>
          <w:rFonts w:cs="Arial"/>
        </w:rPr>
        <w:t>raphical scope and consistency.</w:t>
      </w:r>
    </w:p>
    <w:p w:rsidR="00AA2F77" w:rsidRPr="00AA2F77" w:rsidRDefault="00AA2F77" w:rsidP="00D80A85">
      <w:pPr>
        <w:pStyle w:val="ListParagraph"/>
        <w:numPr>
          <w:ilvl w:val="1"/>
          <w:numId w:val="2"/>
        </w:numPr>
        <w:spacing w:before="0"/>
        <w:jc w:val="both"/>
        <w:rPr>
          <w:rFonts w:eastAsia="Calibri"/>
          <w:b/>
          <w:i/>
          <w:color w:val="4F6228" w:themeColor="accent3" w:themeShade="80"/>
        </w:rPr>
      </w:pPr>
      <w:r w:rsidRPr="00AA2F77">
        <w:rPr>
          <w:rFonts w:eastAsia="Calibri"/>
          <w:b/>
          <w:i/>
          <w:color w:val="4F6228" w:themeColor="accent3" w:themeShade="80"/>
        </w:rPr>
        <w:t>Workshop on Engaging Health Sector in Aflatoxin Prevention and Control in Africa</w:t>
      </w:r>
    </w:p>
    <w:p w:rsidR="00AA2F77" w:rsidRPr="00AD1E21" w:rsidRDefault="00AA2F77" w:rsidP="00670934">
      <w:pPr>
        <w:spacing w:before="0"/>
        <w:jc w:val="both"/>
      </w:pPr>
      <w:r w:rsidRPr="00AD1E21">
        <w:t>PACA, in collaboration with</w:t>
      </w:r>
      <w:r>
        <w:t xml:space="preserve"> </w:t>
      </w:r>
      <w:proofErr w:type="spellStart"/>
      <w:r>
        <w:t>Amref</w:t>
      </w:r>
      <w:proofErr w:type="spellEnd"/>
      <w:r w:rsidRPr="00AD1E21">
        <w:t xml:space="preserve"> Health Africa, the Centers for Disease Control and Prevention (CDC), the World Health Organization (WHO), the International Agency for Research on Cancer (IARC), and the Global Alliance for Improved Nutrition (GAIN) planned and convened 106 diverse stakeholders working on food safety, health and nutrition across Africa and beyond at a two-day workshop to foster and reinforce multi-sectoral linkages in the health sector and nutrition domain with reference to aflatoxin mitigation in Africa. The </w:t>
      </w:r>
      <w:r>
        <w:t xml:space="preserve">workshop </w:t>
      </w:r>
      <w:r w:rsidRPr="00AD1E21">
        <w:t>titled “</w:t>
      </w:r>
      <w:r w:rsidRPr="00AD1E21">
        <w:rPr>
          <w:i/>
        </w:rPr>
        <w:t>Engaging the Health and Nutrition Sectors in Aflatoxin Control in Africa</w:t>
      </w:r>
      <w:r w:rsidRPr="00AD1E21">
        <w:t xml:space="preserve">” was held </w:t>
      </w:r>
      <w:r w:rsidR="000471DF">
        <w:t>on</w:t>
      </w:r>
      <w:r w:rsidRPr="00AD1E21">
        <w:t xml:space="preserve"> 23</w:t>
      </w:r>
      <w:r w:rsidR="000471DF">
        <w:t>-</w:t>
      </w:r>
      <w:r w:rsidRPr="00AD1E21">
        <w:t xml:space="preserve">24 March 2016 at the African Union Commission Headquarters in Addis Ababa, Ethiopia. </w:t>
      </w:r>
      <w:r w:rsidRPr="00AD1E21">
        <w:lastRenderedPageBreak/>
        <w:t>The theme of the workshop was “</w:t>
      </w:r>
      <w:r w:rsidRPr="00AD1E21">
        <w:rPr>
          <w:i/>
        </w:rPr>
        <w:t>Mitigating the Health and Nutrition Impacts of Aflatoxins in Africa through Uncommon Partnerships</w:t>
      </w:r>
      <w:r w:rsidRPr="00AD1E21">
        <w:t xml:space="preserve">”. </w:t>
      </w:r>
    </w:p>
    <w:p w:rsidR="00AA2F77" w:rsidRPr="00AD1E21" w:rsidRDefault="00AA2F77" w:rsidP="00AA2F77">
      <w:pPr>
        <w:jc w:val="both"/>
      </w:pPr>
      <w:r w:rsidRPr="00AD1E21">
        <w:t xml:space="preserve">The meetings main objectives were to: </w:t>
      </w:r>
    </w:p>
    <w:p w:rsidR="00AA2F77" w:rsidRPr="00AD1E21" w:rsidRDefault="00AA2F77" w:rsidP="00D80A85">
      <w:pPr>
        <w:numPr>
          <w:ilvl w:val="0"/>
          <w:numId w:val="3"/>
        </w:numPr>
        <w:spacing w:before="0" w:line="276" w:lineRule="auto"/>
        <w:jc w:val="both"/>
      </w:pPr>
      <w:r w:rsidRPr="00AD1E21">
        <w:t>Update participants on the burden and current situation of health and nutritional effects due to aflatoxin exposures at global, regional and country levels.</w:t>
      </w:r>
    </w:p>
    <w:p w:rsidR="00AA2F77" w:rsidRPr="00AD1E21" w:rsidRDefault="00AA2F77" w:rsidP="00D80A85">
      <w:pPr>
        <w:numPr>
          <w:ilvl w:val="0"/>
          <w:numId w:val="3"/>
        </w:numPr>
        <w:spacing w:before="0" w:line="276" w:lineRule="auto"/>
        <w:jc w:val="both"/>
      </w:pPr>
      <w:r w:rsidRPr="00AD1E21">
        <w:t xml:space="preserve">Inform participants of the role of nutrition in health-based aflatoxin research. </w:t>
      </w:r>
    </w:p>
    <w:p w:rsidR="00AA2F77" w:rsidRPr="00AD1E21" w:rsidRDefault="00AA2F77" w:rsidP="00D80A85">
      <w:pPr>
        <w:numPr>
          <w:ilvl w:val="0"/>
          <w:numId w:val="3"/>
        </w:numPr>
        <w:spacing w:before="0" w:line="276" w:lineRule="auto"/>
        <w:jc w:val="both"/>
      </w:pPr>
      <w:r w:rsidRPr="00AD1E21">
        <w:t xml:space="preserve">Catalogue the various interventions targeting human and animal health as well as nutrition initiatives and actors in countries.  </w:t>
      </w:r>
    </w:p>
    <w:p w:rsidR="00AA2F77" w:rsidRPr="00AD1E21" w:rsidRDefault="00AA2F77" w:rsidP="00D80A85">
      <w:pPr>
        <w:numPr>
          <w:ilvl w:val="0"/>
          <w:numId w:val="3"/>
        </w:numPr>
        <w:spacing w:before="0" w:line="276" w:lineRule="auto"/>
        <w:jc w:val="both"/>
      </w:pPr>
      <w:r w:rsidRPr="00AD1E21">
        <w:t xml:space="preserve">Create a platform (proposed as: </w:t>
      </w:r>
      <w:r w:rsidRPr="00AD1E21">
        <w:rPr>
          <w:i/>
          <w:iCs/>
        </w:rPr>
        <w:t>Africa Aflatoxin Health and Nutrition Forum</w:t>
      </w:r>
      <w:r w:rsidRPr="00AD1E21">
        <w:t xml:space="preserve">) that would link actors across the three focal sectors (with special emphasis on health and nutrition) of the African economy impacted by aflatoxins to effectively crusade against this deadly fungal “poison”. </w:t>
      </w:r>
    </w:p>
    <w:p w:rsidR="00AA2F77" w:rsidRPr="00AD1E21" w:rsidRDefault="00AA2F77" w:rsidP="00D80A85">
      <w:pPr>
        <w:numPr>
          <w:ilvl w:val="0"/>
          <w:numId w:val="3"/>
        </w:numPr>
        <w:spacing w:before="0" w:line="276" w:lineRule="auto"/>
        <w:jc w:val="both"/>
      </w:pPr>
      <w:r w:rsidRPr="00AD1E21">
        <w:t xml:space="preserve">Identify gaps (especially as related to the nutrition sub-component) on current responses in line with the health component of the PACA strategy. </w:t>
      </w:r>
    </w:p>
    <w:p w:rsidR="00AA2F77" w:rsidRPr="00AD1E21" w:rsidRDefault="00AA2F77" w:rsidP="00D80A85">
      <w:pPr>
        <w:numPr>
          <w:ilvl w:val="0"/>
          <w:numId w:val="3"/>
        </w:numPr>
        <w:spacing w:before="0" w:line="276" w:lineRule="auto"/>
        <w:jc w:val="both"/>
      </w:pPr>
      <w:r w:rsidRPr="00AD1E21">
        <w:t xml:space="preserve">Develop an operational plan to address the gaps and/or implement the health and nutrition component of the PACA strategy </w:t>
      </w:r>
    </w:p>
    <w:p w:rsidR="00AA2F77" w:rsidRDefault="00AA2F77" w:rsidP="00AA2F77">
      <w:pPr>
        <w:pStyle w:val="ecxmsonormal"/>
        <w:shd w:val="clear" w:color="auto" w:fill="FFFFFF"/>
        <w:spacing w:before="0" w:beforeAutospacing="0" w:after="0" w:afterAutospacing="0"/>
        <w:jc w:val="both"/>
        <w:rPr>
          <w:rFonts w:ascii="Palatino Linotype" w:hAnsi="Palatino Linotype"/>
          <w:b/>
          <w:i/>
          <w:sz w:val="22"/>
          <w:szCs w:val="22"/>
        </w:rPr>
      </w:pPr>
    </w:p>
    <w:p w:rsidR="00AA2F77" w:rsidRPr="00AD1E21" w:rsidRDefault="00AA2F77" w:rsidP="00D57F9A">
      <w:pPr>
        <w:pStyle w:val="ecxmsonormal"/>
        <w:shd w:val="clear" w:color="auto" w:fill="FFFFFF"/>
        <w:spacing w:before="0" w:beforeAutospacing="0" w:after="0" w:afterAutospacing="0"/>
        <w:jc w:val="both"/>
        <w:rPr>
          <w:rFonts w:ascii="Palatino Linotype" w:hAnsi="Palatino Linotype"/>
          <w:i/>
          <w:sz w:val="22"/>
          <w:szCs w:val="22"/>
        </w:rPr>
      </w:pPr>
      <w:r w:rsidRPr="00AD1E21">
        <w:rPr>
          <w:rFonts w:ascii="Palatino Linotype" w:hAnsi="Palatino Linotype"/>
          <w:sz w:val="22"/>
          <w:szCs w:val="22"/>
        </w:rPr>
        <w:t>From speeches, technical papers in plenary, panel and parallel breakout group discussions, diverse thematic areas related to aflatoxins in human and animal health, nutrition, agriculture, awareness and communication were documented during the meeting.</w:t>
      </w:r>
      <w:r>
        <w:rPr>
          <w:rFonts w:ascii="Palatino Linotype" w:hAnsi="Palatino Linotype"/>
          <w:i/>
          <w:sz w:val="22"/>
          <w:szCs w:val="22"/>
        </w:rPr>
        <w:t xml:space="preserve"> </w:t>
      </w:r>
      <w:r w:rsidRPr="00AD1E21">
        <w:rPr>
          <w:rFonts w:ascii="Palatino Linotype" w:hAnsi="Palatino Linotype"/>
          <w:sz w:val="22"/>
          <w:szCs w:val="22"/>
        </w:rPr>
        <w:t>Challenges limiting effective aflatoxin mitigation in the thematic areas of health (human and animal), agriculture, nutrition and awareness were catalogued and thoroughly discussed.</w:t>
      </w:r>
      <w:r>
        <w:rPr>
          <w:rFonts w:ascii="Palatino Linotype" w:hAnsi="Palatino Linotype"/>
          <w:sz w:val="22"/>
          <w:szCs w:val="22"/>
        </w:rPr>
        <w:t xml:space="preserve"> </w:t>
      </w:r>
      <w:r w:rsidRPr="00AD1E21">
        <w:rPr>
          <w:rFonts w:ascii="Palatino Linotype" w:hAnsi="Palatino Linotype"/>
          <w:sz w:val="22"/>
          <w:szCs w:val="22"/>
        </w:rPr>
        <w:t>Recommendations on areas of interv</w:t>
      </w:r>
      <w:r w:rsidR="00D57F9A">
        <w:rPr>
          <w:rFonts w:ascii="Palatino Linotype" w:hAnsi="Palatino Linotype"/>
          <w:sz w:val="22"/>
          <w:szCs w:val="22"/>
        </w:rPr>
        <w:t>entions and actions (13 in total),</w:t>
      </w:r>
      <w:r w:rsidRPr="00AD1E21">
        <w:rPr>
          <w:rFonts w:ascii="Palatino Linotype" w:hAnsi="Palatino Linotype"/>
          <w:sz w:val="22"/>
          <w:szCs w:val="22"/>
        </w:rPr>
        <w:t xml:space="preserve"> were given for the various thematic areas identified. A plan of action and roadmap was further developed and currently being refined for circulation.</w:t>
      </w:r>
      <w:r>
        <w:rPr>
          <w:rFonts w:ascii="Palatino Linotype" w:hAnsi="Palatino Linotype"/>
          <w:sz w:val="22"/>
          <w:szCs w:val="22"/>
        </w:rPr>
        <w:t xml:space="preserve"> A w</w:t>
      </w:r>
      <w:r w:rsidRPr="0020250E">
        <w:rPr>
          <w:rFonts w:ascii="Palatino Linotype" w:hAnsi="Palatino Linotype"/>
          <w:sz w:val="22"/>
          <w:szCs w:val="22"/>
        </w:rPr>
        <w:t>orkshop report</w:t>
      </w:r>
      <w:r>
        <w:rPr>
          <w:rFonts w:ascii="Palatino Linotype" w:hAnsi="Palatino Linotype"/>
          <w:sz w:val="22"/>
          <w:szCs w:val="22"/>
        </w:rPr>
        <w:t xml:space="preserve"> and draft action plan has been developed and shared with</w:t>
      </w:r>
      <w:r w:rsidR="00B80C5F">
        <w:rPr>
          <w:rFonts w:ascii="Palatino Linotype" w:hAnsi="Palatino Linotype"/>
          <w:sz w:val="22"/>
          <w:szCs w:val="22"/>
        </w:rPr>
        <w:t xml:space="preserve"> </w:t>
      </w:r>
      <w:proofErr w:type="spellStart"/>
      <w:r>
        <w:rPr>
          <w:rFonts w:ascii="Palatino Linotype" w:hAnsi="Palatino Linotype"/>
          <w:sz w:val="22"/>
          <w:szCs w:val="22"/>
        </w:rPr>
        <w:t>Amref</w:t>
      </w:r>
      <w:proofErr w:type="spellEnd"/>
      <w:r>
        <w:rPr>
          <w:rFonts w:ascii="Palatino Linotype" w:hAnsi="Palatino Linotype"/>
          <w:sz w:val="22"/>
          <w:szCs w:val="22"/>
        </w:rPr>
        <w:t xml:space="preserve"> Health Africa. </w:t>
      </w:r>
      <w:r w:rsidRPr="00AD1E21">
        <w:rPr>
          <w:rFonts w:ascii="Palatino Linotype" w:hAnsi="Palatino Linotype"/>
          <w:sz w:val="22"/>
          <w:szCs w:val="22"/>
        </w:rPr>
        <w:t xml:space="preserve">PACA Secretariat </w:t>
      </w:r>
      <w:r>
        <w:rPr>
          <w:rFonts w:ascii="Palatino Linotype" w:hAnsi="Palatino Linotype"/>
          <w:sz w:val="22"/>
          <w:szCs w:val="22"/>
        </w:rPr>
        <w:t xml:space="preserve">will share the report and draft action plan to the identified workshop </w:t>
      </w:r>
      <w:r w:rsidRPr="00AD1E21">
        <w:rPr>
          <w:rFonts w:ascii="Palatino Linotype" w:hAnsi="Palatino Linotype"/>
          <w:sz w:val="22"/>
          <w:szCs w:val="22"/>
        </w:rPr>
        <w:t>focal points to finalize plan of action and roadmap document.</w:t>
      </w:r>
      <w:r w:rsidR="00B80C5F">
        <w:rPr>
          <w:rFonts w:ascii="Palatino Linotype" w:hAnsi="Palatino Linotype"/>
          <w:sz w:val="22"/>
          <w:szCs w:val="22"/>
        </w:rPr>
        <w:t xml:space="preserve"> </w:t>
      </w:r>
      <w:r w:rsidR="003C34A8">
        <w:rPr>
          <w:rFonts w:ascii="Palatino Linotype" w:hAnsi="Palatino Linotype"/>
          <w:sz w:val="22"/>
          <w:szCs w:val="22"/>
        </w:rPr>
        <w:t>The</w:t>
      </w:r>
      <w:r w:rsidR="00B80C5F">
        <w:rPr>
          <w:rFonts w:ascii="Palatino Linotype" w:hAnsi="Palatino Linotype"/>
          <w:sz w:val="22"/>
          <w:szCs w:val="22"/>
        </w:rPr>
        <w:t xml:space="preserve"> </w:t>
      </w:r>
      <w:r w:rsidRPr="00AD1E21">
        <w:rPr>
          <w:rFonts w:ascii="Palatino Linotype" w:hAnsi="Palatino Linotype"/>
          <w:sz w:val="22"/>
          <w:szCs w:val="22"/>
        </w:rPr>
        <w:t xml:space="preserve">Secretariat </w:t>
      </w:r>
      <w:r w:rsidR="00B80C5F">
        <w:rPr>
          <w:rFonts w:ascii="Palatino Linotype" w:hAnsi="Palatino Linotype"/>
          <w:sz w:val="22"/>
          <w:szCs w:val="22"/>
        </w:rPr>
        <w:t>will</w:t>
      </w:r>
      <w:r w:rsidR="003C34A8">
        <w:rPr>
          <w:rFonts w:ascii="Palatino Linotype" w:hAnsi="Palatino Linotype"/>
          <w:sz w:val="22"/>
          <w:szCs w:val="22"/>
        </w:rPr>
        <w:t xml:space="preserve"> also</w:t>
      </w:r>
      <w:r w:rsidR="00B80C5F">
        <w:rPr>
          <w:rFonts w:ascii="Palatino Linotype" w:hAnsi="Palatino Linotype"/>
          <w:sz w:val="22"/>
          <w:szCs w:val="22"/>
        </w:rPr>
        <w:t xml:space="preserve"> </w:t>
      </w:r>
      <w:r w:rsidRPr="00AD1E21">
        <w:rPr>
          <w:rFonts w:ascii="Palatino Linotype" w:hAnsi="Palatino Linotype"/>
          <w:sz w:val="22"/>
          <w:szCs w:val="22"/>
        </w:rPr>
        <w:t>disseminate workshop report and action plan documents to PACA Community.</w:t>
      </w:r>
      <w:r w:rsidR="00D57F9A">
        <w:rPr>
          <w:rFonts w:ascii="Palatino Linotype" w:hAnsi="Palatino Linotype"/>
          <w:sz w:val="22"/>
          <w:szCs w:val="22"/>
        </w:rPr>
        <w:t xml:space="preserve"> Furthermore, PACA Secretariat will </w:t>
      </w:r>
      <w:r w:rsidRPr="00AD1E21">
        <w:rPr>
          <w:rFonts w:ascii="Palatino Linotype" w:hAnsi="Palatino Linotype"/>
          <w:sz w:val="22"/>
          <w:szCs w:val="22"/>
        </w:rPr>
        <w:t>eng</w:t>
      </w:r>
      <w:r w:rsidR="00D57F9A">
        <w:rPr>
          <w:rFonts w:ascii="Palatino Linotype" w:hAnsi="Palatino Linotype"/>
          <w:sz w:val="22"/>
          <w:szCs w:val="22"/>
        </w:rPr>
        <w:t>age</w:t>
      </w:r>
      <w:r w:rsidRPr="00AD1E21">
        <w:rPr>
          <w:rFonts w:ascii="Palatino Linotype" w:hAnsi="Palatino Linotype"/>
          <w:sz w:val="22"/>
          <w:szCs w:val="22"/>
        </w:rPr>
        <w:t xml:space="preserve"> focal points and relevant stakeholders to drive implementation of activities outlined in plan of action document.</w:t>
      </w:r>
    </w:p>
    <w:p w:rsidR="00566A54" w:rsidRPr="00EF0E7D" w:rsidRDefault="00662B96" w:rsidP="00D80A85">
      <w:pPr>
        <w:pStyle w:val="ListParagraph"/>
        <w:numPr>
          <w:ilvl w:val="0"/>
          <w:numId w:val="2"/>
        </w:numPr>
        <w:jc w:val="both"/>
        <w:rPr>
          <w:rFonts w:cs="Arial"/>
          <w:b/>
          <w:color w:val="4F6228" w:themeColor="accent3" w:themeShade="80"/>
          <w:sz w:val="24"/>
          <w:szCs w:val="24"/>
        </w:rPr>
      </w:pPr>
      <w:r w:rsidRPr="00685128">
        <w:rPr>
          <w:rFonts w:cs="Arial"/>
          <w:b/>
          <w:color w:val="4F6228" w:themeColor="accent3" w:themeShade="80"/>
          <w:sz w:val="24"/>
          <w:szCs w:val="24"/>
        </w:rPr>
        <w:t xml:space="preserve">PACA activities at country level: </w:t>
      </w:r>
      <w:r w:rsidR="00685128">
        <w:rPr>
          <w:rFonts w:cs="Arial"/>
          <w:b/>
          <w:color w:val="4F6228" w:themeColor="accent3" w:themeShade="80"/>
          <w:sz w:val="24"/>
          <w:szCs w:val="24"/>
        </w:rPr>
        <w:t>Malawi, Tanzania, Uganda</w:t>
      </w:r>
      <w:r w:rsidRPr="00685128">
        <w:rPr>
          <w:rFonts w:cs="Arial"/>
          <w:b/>
          <w:color w:val="4F6228" w:themeColor="accent3" w:themeShade="80"/>
          <w:sz w:val="24"/>
          <w:szCs w:val="24"/>
        </w:rPr>
        <w:t xml:space="preserve"> </w:t>
      </w:r>
    </w:p>
    <w:p w:rsidR="0093497E" w:rsidRPr="00566A54" w:rsidRDefault="0093497E" w:rsidP="00D80A85">
      <w:pPr>
        <w:pStyle w:val="ListParagraph"/>
        <w:numPr>
          <w:ilvl w:val="1"/>
          <w:numId w:val="2"/>
        </w:numPr>
        <w:spacing w:before="0"/>
        <w:jc w:val="both"/>
        <w:rPr>
          <w:rFonts w:cs="Arial"/>
          <w:b/>
          <w:i/>
          <w:color w:val="4F6228" w:themeColor="accent3" w:themeShade="80"/>
          <w:sz w:val="24"/>
          <w:szCs w:val="24"/>
        </w:rPr>
      </w:pPr>
      <w:r w:rsidRPr="00566A54">
        <w:rPr>
          <w:rFonts w:cs="Arial"/>
          <w:b/>
          <w:i/>
          <w:color w:val="4F6228" w:themeColor="accent3" w:themeShade="80"/>
        </w:rPr>
        <w:t xml:space="preserve">Establishment of the Africa Aflatoxin Information Management System </w:t>
      </w:r>
    </w:p>
    <w:p w:rsidR="0044462E" w:rsidRDefault="0044462E" w:rsidP="00566A54">
      <w:pPr>
        <w:spacing w:before="0"/>
        <w:jc w:val="both"/>
        <w:rPr>
          <w:rFonts w:cs="Arial"/>
        </w:rPr>
      </w:pPr>
      <w:r w:rsidRPr="00652B76">
        <w:rPr>
          <w:rFonts w:cs="Arial"/>
        </w:rPr>
        <w:t xml:space="preserve">In order to make informed decisions on policies and interventions, resource allocation, and awareness </w:t>
      </w:r>
      <w:r w:rsidR="0001771C" w:rsidRPr="00652B76">
        <w:rPr>
          <w:rFonts w:cs="Arial"/>
        </w:rPr>
        <w:t>r</w:t>
      </w:r>
      <w:r w:rsidR="0001771C">
        <w:rPr>
          <w:rFonts w:cs="Arial"/>
        </w:rPr>
        <w:t>a</w:t>
      </w:r>
      <w:r w:rsidR="0001771C" w:rsidRPr="00652B76">
        <w:rPr>
          <w:rFonts w:cs="Arial"/>
        </w:rPr>
        <w:t>ising</w:t>
      </w:r>
      <w:r w:rsidRPr="00652B76">
        <w:rPr>
          <w:rFonts w:cs="Arial"/>
        </w:rPr>
        <w:t xml:space="preserve">, governments and other stakeholders rely on accurate and evidence based information. One of the major challenges in mitigating aflatoxin in Africa is the lack of adequate information and harmonized data collection system on aflatoxins. </w:t>
      </w:r>
      <w:r>
        <w:rPr>
          <w:rFonts w:cs="Arial"/>
        </w:rPr>
        <w:t>To address this gap, PACA is establishing the</w:t>
      </w:r>
      <w:r w:rsidRPr="0044462E">
        <w:rPr>
          <w:rFonts w:cs="Arial"/>
        </w:rPr>
        <w:t xml:space="preserve"> Africa</w:t>
      </w:r>
      <w:r>
        <w:rPr>
          <w:rFonts w:cs="Arial"/>
        </w:rPr>
        <w:t xml:space="preserve"> Aflatoxin Information Management System (Africa</w:t>
      </w:r>
      <w:r w:rsidRPr="0044462E">
        <w:rPr>
          <w:rFonts w:cs="Arial"/>
        </w:rPr>
        <w:t>AIMS</w:t>
      </w:r>
      <w:r>
        <w:rPr>
          <w:rFonts w:cs="Arial"/>
        </w:rPr>
        <w:t>)</w:t>
      </w:r>
      <w:r w:rsidRPr="0044462E">
        <w:rPr>
          <w:rFonts w:cs="Arial"/>
        </w:rPr>
        <w:t xml:space="preserve"> which will serve as a “one stop” information harbor for aflatoxin information in the health, trade and agriculture sector</w:t>
      </w:r>
      <w:r>
        <w:rPr>
          <w:rFonts w:cs="Arial"/>
        </w:rPr>
        <w:t>s. Data on the AfricaAIMS will be</w:t>
      </w:r>
      <w:r w:rsidRPr="0044462E">
        <w:rPr>
          <w:rFonts w:cs="Arial"/>
        </w:rPr>
        <w:t xml:space="preserve"> “home-grown” owned by AU Member </w:t>
      </w:r>
      <w:r w:rsidRPr="0044462E">
        <w:rPr>
          <w:rFonts w:cs="Arial"/>
        </w:rPr>
        <w:lastRenderedPageBreak/>
        <w:t xml:space="preserve">States and respective RECs. The information on the AfricaAIMS will serve policy makers, regulatory bodies, technical agencies (health, trade and agriculture), researchers, farmers, civil society organizations (CSOs), non-governmental organizations (NGOs), private sector partners along the value chain and other interested parties. </w:t>
      </w:r>
    </w:p>
    <w:p w:rsidR="00AE19CA" w:rsidRDefault="0044462E" w:rsidP="0044462E">
      <w:pPr>
        <w:jc w:val="both"/>
        <w:rPr>
          <w:rFonts w:cs="Arial"/>
        </w:rPr>
      </w:pPr>
      <w:r>
        <w:rPr>
          <w:rFonts w:cs="Arial"/>
        </w:rPr>
        <w:t xml:space="preserve">The period January-June 2016 saw great progress in operationalizing AfricaAIMS on the continent and in PACA Pilot Countries. </w:t>
      </w:r>
      <w:r w:rsidR="0001771C">
        <w:rPr>
          <w:rFonts w:cs="Arial"/>
        </w:rPr>
        <w:t xml:space="preserve">The PACA Secretariat in collaboration with AU-IBAR finalized the development of health, trade and agriculture modules to enable data entry. Additionally, Uganda, Tanzania, Gambia and Senegal </w:t>
      </w:r>
      <w:r>
        <w:rPr>
          <w:rFonts w:cs="Arial"/>
        </w:rPr>
        <w:t xml:space="preserve">finalized the </w:t>
      </w:r>
      <w:r w:rsidR="0001771C">
        <w:rPr>
          <w:rFonts w:cs="Arial"/>
        </w:rPr>
        <w:t xml:space="preserve">collection and </w:t>
      </w:r>
      <w:r>
        <w:rPr>
          <w:rFonts w:cs="Arial"/>
        </w:rPr>
        <w:t>analysi</w:t>
      </w:r>
      <w:r w:rsidR="0001771C">
        <w:rPr>
          <w:rFonts w:cs="Arial"/>
        </w:rPr>
        <w:t>s of data</w:t>
      </w:r>
      <w:r>
        <w:rPr>
          <w:rFonts w:cs="Arial"/>
        </w:rPr>
        <w:t xml:space="preserve">. </w:t>
      </w:r>
      <w:r w:rsidR="0001771C">
        <w:rPr>
          <w:rFonts w:cs="Arial"/>
        </w:rPr>
        <w:t xml:space="preserve">Consequently, </w:t>
      </w:r>
      <w:proofErr w:type="gramStart"/>
      <w:r w:rsidR="0001771C">
        <w:rPr>
          <w:rFonts w:cs="Arial"/>
        </w:rPr>
        <w:t>a</w:t>
      </w:r>
      <w:r w:rsidR="00AE19CA">
        <w:rPr>
          <w:rFonts w:cs="Arial"/>
        </w:rPr>
        <w:t xml:space="preserve"> </w:t>
      </w:r>
      <w:r w:rsidR="003C34A8">
        <w:rPr>
          <w:rFonts w:cs="Arial"/>
        </w:rPr>
        <w:t>refresher</w:t>
      </w:r>
      <w:proofErr w:type="gramEnd"/>
      <w:r w:rsidR="003C34A8">
        <w:rPr>
          <w:rFonts w:cs="Arial"/>
        </w:rPr>
        <w:t xml:space="preserve"> training for the four</w:t>
      </w:r>
      <w:r w:rsidR="0001771C">
        <w:rPr>
          <w:rFonts w:cs="Arial"/>
        </w:rPr>
        <w:t xml:space="preserve"> Pilot Countries was held in February 2016 to</w:t>
      </w:r>
      <w:r>
        <w:rPr>
          <w:rFonts w:cs="Arial"/>
        </w:rPr>
        <w:t xml:space="preserve"> enable data entry </w:t>
      </w:r>
      <w:r w:rsidR="0001771C">
        <w:rPr>
          <w:rFonts w:cs="Arial"/>
        </w:rPr>
        <w:t xml:space="preserve">on AfricaAIMS. </w:t>
      </w:r>
      <w:r>
        <w:rPr>
          <w:rFonts w:cs="Arial"/>
        </w:rPr>
        <w:t xml:space="preserve">The momentum of </w:t>
      </w:r>
      <w:r w:rsidR="0001771C">
        <w:rPr>
          <w:rFonts w:cs="Arial"/>
        </w:rPr>
        <w:t xml:space="preserve">continual </w:t>
      </w:r>
      <w:r>
        <w:rPr>
          <w:rFonts w:cs="Arial"/>
        </w:rPr>
        <w:t>data submission in Uganda</w:t>
      </w:r>
      <w:r w:rsidR="0001771C">
        <w:rPr>
          <w:rFonts w:cs="Arial"/>
        </w:rPr>
        <w:t>, Tanzania, Senegal and Gambia ha</w:t>
      </w:r>
      <w:r>
        <w:rPr>
          <w:rFonts w:cs="Arial"/>
        </w:rPr>
        <w:t>s</w:t>
      </w:r>
      <w:r w:rsidR="0001771C">
        <w:rPr>
          <w:rFonts w:cs="Arial"/>
        </w:rPr>
        <w:t xml:space="preserve"> been</w:t>
      </w:r>
      <w:r>
        <w:rPr>
          <w:rFonts w:cs="Arial"/>
        </w:rPr>
        <w:t xml:space="preserve"> sustaine</w:t>
      </w:r>
      <w:r w:rsidR="0001771C">
        <w:rPr>
          <w:rFonts w:cs="Arial"/>
        </w:rPr>
        <w:t xml:space="preserve">d. </w:t>
      </w:r>
      <w:r w:rsidR="00AE19CA">
        <w:rPr>
          <w:rFonts w:cs="Arial"/>
        </w:rPr>
        <w:t xml:space="preserve">Malawi </w:t>
      </w:r>
      <w:r w:rsidR="0001771C">
        <w:rPr>
          <w:rFonts w:cs="Arial"/>
        </w:rPr>
        <w:t>has since finalized</w:t>
      </w:r>
      <w:r w:rsidR="00AE19CA">
        <w:rPr>
          <w:rFonts w:cs="Arial"/>
        </w:rPr>
        <w:t xml:space="preserve"> </w:t>
      </w:r>
      <w:r w:rsidR="0001771C">
        <w:rPr>
          <w:rFonts w:cs="Arial"/>
        </w:rPr>
        <w:t>data collection and initiated analysis of data in</w:t>
      </w:r>
      <w:r w:rsidR="00AE19CA">
        <w:rPr>
          <w:rFonts w:cs="Arial"/>
        </w:rPr>
        <w:t xml:space="preserve"> the 2</w:t>
      </w:r>
      <w:r w:rsidR="00AE19CA" w:rsidRPr="00AE19CA">
        <w:rPr>
          <w:rFonts w:cs="Arial"/>
          <w:vertAlign w:val="superscript"/>
        </w:rPr>
        <w:t>nd</w:t>
      </w:r>
      <w:r w:rsidR="00AE19CA">
        <w:rPr>
          <w:rFonts w:cs="Arial"/>
        </w:rPr>
        <w:t xml:space="preserve"> quarter</w:t>
      </w:r>
      <w:r w:rsidR="00DC6131">
        <w:rPr>
          <w:rFonts w:cs="Arial"/>
        </w:rPr>
        <w:t xml:space="preserve"> of 2016</w:t>
      </w:r>
      <w:r w:rsidR="00AE19CA">
        <w:rPr>
          <w:rFonts w:cs="Arial"/>
        </w:rPr>
        <w:t xml:space="preserve">. </w:t>
      </w:r>
      <w:r w:rsidR="0001771C">
        <w:rPr>
          <w:rFonts w:cs="Arial"/>
        </w:rPr>
        <w:t>PACA Secretariat will support Malawi and Nigeria in the 4</w:t>
      </w:r>
      <w:r w:rsidR="0001771C" w:rsidRPr="0001771C">
        <w:rPr>
          <w:rFonts w:cs="Arial"/>
          <w:vertAlign w:val="superscript"/>
        </w:rPr>
        <w:t>th</w:t>
      </w:r>
      <w:r w:rsidR="0001771C">
        <w:rPr>
          <w:rFonts w:cs="Arial"/>
        </w:rPr>
        <w:t xml:space="preserve"> Quarter to conduct </w:t>
      </w:r>
      <w:proofErr w:type="gramStart"/>
      <w:r w:rsidR="0001771C">
        <w:rPr>
          <w:rFonts w:cs="Arial"/>
        </w:rPr>
        <w:t>a refresher</w:t>
      </w:r>
      <w:proofErr w:type="gramEnd"/>
      <w:r w:rsidR="0001771C">
        <w:rPr>
          <w:rFonts w:cs="Arial"/>
        </w:rPr>
        <w:t xml:space="preserve"> training and to enable data entry on the portal. </w:t>
      </w:r>
      <w:r w:rsidR="00AE19CA" w:rsidRPr="00AE19CA">
        <w:rPr>
          <w:rFonts w:cs="Arial"/>
        </w:rPr>
        <w:t>For more details</w:t>
      </w:r>
      <w:r w:rsidR="00AE19CA">
        <w:rPr>
          <w:rFonts w:cs="Arial"/>
        </w:rPr>
        <w:t xml:space="preserve"> on AfricaAIMS implementation, please refer to </w:t>
      </w:r>
      <w:r w:rsidR="00AE19CA" w:rsidRPr="00AE19CA">
        <w:rPr>
          <w:rFonts w:cs="Arial"/>
        </w:rPr>
        <w:t xml:space="preserve">AfricaAIMS </w:t>
      </w:r>
      <w:r w:rsidR="00AE19CA">
        <w:rPr>
          <w:rFonts w:cs="Arial"/>
        </w:rPr>
        <w:t xml:space="preserve">report </w:t>
      </w:r>
      <w:r w:rsidR="00A30321" w:rsidRPr="007B053F">
        <w:rPr>
          <w:rFonts w:cs="Arial"/>
          <w:b/>
          <w:highlight w:val="yellow"/>
        </w:rPr>
        <w:t>(PACA/SCM/Aug16/XX</w:t>
      </w:r>
      <w:r w:rsidR="00AE19CA" w:rsidRPr="007B053F">
        <w:rPr>
          <w:rFonts w:cs="Arial"/>
          <w:b/>
          <w:highlight w:val="yellow"/>
        </w:rPr>
        <w:t>).</w:t>
      </w:r>
    </w:p>
    <w:p w:rsidR="0093497E" w:rsidRPr="00652B76" w:rsidRDefault="0093497E" w:rsidP="001678D0">
      <w:pPr>
        <w:pStyle w:val="ListParagraph"/>
        <w:jc w:val="both"/>
        <w:rPr>
          <w:rFonts w:cs="Arial"/>
          <w:b/>
        </w:rPr>
      </w:pPr>
    </w:p>
    <w:p w:rsidR="0093497E" w:rsidRPr="00DF5AB3" w:rsidRDefault="00577421" w:rsidP="00D80A85">
      <w:pPr>
        <w:pStyle w:val="ListParagraph"/>
        <w:numPr>
          <w:ilvl w:val="1"/>
          <w:numId w:val="2"/>
        </w:numPr>
        <w:spacing w:before="0"/>
        <w:jc w:val="both"/>
        <w:rPr>
          <w:rFonts w:cs="Arial"/>
          <w:b/>
          <w:i/>
          <w:color w:val="4F6228" w:themeColor="accent3" w:themeShade="80"/>
        </w:rPr>
      </w:pPr>
      <w:r w:rsidRPr="00DF5AB3">
        <w:rPr>
          <w:rFonts w:cs="Arial"/>
          <w:b/>
          <w:i/>
          <w:color w:val="4F6228" w:themeColor="accent3" w:themeShade="80"/>
        </w:rPr>
        <w:t xml:space="preserve">Country-Led </w:t>
      </w:r>
      <w:r w:rsidR="0093497E" w:rsidRPr="00DF5AB3">
        <w:rPr>
          <w:rFonts w:cs="Arial"/>
          <w:b/>
          <w:i/>
          <w:color w:val="4F6228" w:themeColor="accent3" w:themeShade="80"/>
        </w:rPr>
        <w:t>Situation Analysis and Action Planning</w:t>
      </w:r>
      <w:r w:rsidRPr="00DF5AB3">
        <w:rPr>
          <w:rFonts w:cs="Arial"/>
          <w:b/>
          <w:i/>
          <w:color w:val="4F6228" w:themeColor="accent3" w:themeShade="80"/>
        </w:rPr>
        <w:t xml:space="preserve"> (CSAAP)</w:t>
      </w:r>
      <w:r w:rsidR="002C7DF5" w:rsidRPr="00DF5AB3">
        <w:rPr>
          <w:rFonts w:cs="Arial"/>
          <w:b/>
          <w:i/>
          <w:color w:val="4F6228" w:themeColor="accent3" w:themeShade="80"/>
        </w:rPr>
        <w:t xml:space="preserve"> </w:t>
      </w:r>
    </w:p>
    <w:p w:rsidR="004B40C4" w:rsidRPr="00652B76" w:rsidRDefault="007B053F" w:rsidP="004B40C4">
      <w:pPr>
        <w:spacing w:before="0"/>
        <w:jc w:val="both"/>
        <w:rPr>
          <w:rFonts w:cs="Arial"/>
        </w:rPr>
      </w:pPr>
      <w:r>
        <w:rPr>
          <w:rFonts w:cs="Arial"/>
        </w:rPr>
        <w:t>PACA supports its</w:t>
      </w:r>
      <w:r w:rsidRPr="007B053F">
        <w:rPr>
          <w:rFonts w:cs="Arial"/>
        </w:rPr>
        <w:t xml:space="preserve"> pilot countries in conducting country‐led food safety and aflatoxin situation analysis and action planning (C-SAAP). Through C-SAAP, countries </w:t>
      </w:r>
      <w:r w:rsidR="003C34A8">
        <w:rPr>
          <w:rFonts w:cs="Arial"/>
        </w:rPr>
        <w:t>will create</w:t>
      </w:r>
      <w:r w:rsidRPr="007B053F">
        <w:rPr>
          <w:rFonts w:cs="Arial"/>
        </w:rPr>
        <w:t xml:space="preserve"> empirical evidence on existing aflatoxin prevalence, legislation, policy and regulation, management practices and other existing control mechanisms that can effectively inform policy and interventions.</w:t>
      </w:r>
      <w:r>
        <w:rPr>
          <w:rFonts w:cs="Arial"/>
        </w:rPr>
        <w:t xml:space="preserve"> </w:t>
      </w:r>
      <w:r w:rsidR="004B40C4" w:rsidRPr="00652B76">
        <w:rPr>
          <w:rFonts w:cs="Arial"/>
        </w:rPr>
        <w:t xml:space="preserve">The C-SAAP will also provide </w:t>
      </w:r>
      <w:r w:rsidR="004B40C4">
        <w:rPr>
          <w:rFonts w:cs="Arial"/>
        </w:rPr>
        <w:t xml:space="preserve">information to enable the alignment of </w:t>
      </w:r>
      <w:r w:rsidR="004B40C4" w:rsidRPr="00652B76">
        <w:rPr>
          <w:rFonts w:cs="Arial"/>
        </w:rPr>
        <w:t xml:space="preserve">aflatoxin control with </w:t>
      </w:r>
      <w:r w:rsidR="004B40C4">
        <w:rPr>
          <w:rFonts w:cs="Arial"/>
        </w:rPr>
        <w:t xml:space="preserve">the </w:t>
      </w:r>
      <w:r w:rsidR="004B40C4" w:rsidRPr="00652B76">
        <w:rPr>
          <w:rFonts w:cs="Arial"/>
        </w:rPr>
        <w:t xml:space="preserve">broader food safety and </w:t>
      </w:r>
      <w:r w:rsidR="000471DF">
        <w:rPr>
          <w:rFonts w:cs="Arial"/>
        </w:rPr>
        <w:t xml:space="preserve">Sanitary and </w:t>
      </w:r>
      <w:proofErr w:type="spellStart"/>
      <w:r w:rsidR="000471DF">
        <w:rPr>
          <w:rFonts w:cs="Arial"/>
        </w:rPr>
        <w:t>Phytosanitary</w:t>
      </w:r>
      <w:proofErr w:type="spellEnd"/>
      <w:r w:rsidR="000471DF">
        <w:rPr>
          <w:rFonts w:cs="Arial"/>
        </w:rPr>
        <w:t xml:space="preserve"> (</w:t>
      </w:r>
      <w:r w:rsidR="004B40C4" w:rsidRPr="00652B76">
        <w:rPr>
          <w:rFonts w:cs="Arial"/>
        </w:rPr>
        <w:t>SPS</w:t>
      </w:r>
      <w:r w:rsidR="000471DF">
        <w:rPr>
          <w:rFonts w:cs="Arial"/>
        </w:rPr>
        <w:t>)</w:t>
      </w:r>
      <w:r w:rsidR="004B40C4" w:rsidRPr="00652B76">
        <w:rPr>
          <w:rFonts w:cs="Arial"/>
        </w:rPr>
        <w:t xml:space="preserve"> issues within </w:t>
      </w:r>
      <w:r w:rsidR="004B40C4">
        <w:rPr>
          <w:rFonts w:cs="Arial"/>
        </w:rPr>
        <w:t xml:space="preserve">countries. PACA Secretariat has been working with national </w:t>
      </w:r>
      <w:r w:rsidR="004B40C4" w:rsidRPr="00652B76">
        <w:rPr>
          <w:rFonts w:cs="Arial"/>
        </w:rPr>
        <w:t xml:space="preserve">consultants to </w:t>
      </w:r>
      <w:r w:rsidR="004B40C4">
        <w:rPr>
          <w:rFonts w:cs="Arial"/>
        </w:rPr>
        <w:t xml:space="preserve">engage with </w:t>
      </w:r>
      <w:r w:rsidR="004B40C4" w:rsidRPr="00652B76">
        <w:rPr>
          <w:rFonts w:cs="Arial"/>
        </w:rPr>
        <w:t>key stakeholders in</w:t>
      </w:r>
      <w:r w:rsidR="004B40C4">
        <w:rPr>
          <w:rFonts w:cs="Arial"/>
        </w:rPr>
        <w:t xml:space="preserve"> supporting the development of a comprehensive </w:t>
      </w:r>
      <w:r w:rsidR="004B40C4" w:rsidRPr="00652B76">
        <w:rPr>
          <w:rFonts w:cs="Arial"/>
        </w:rPr>
        <w:t>country action plan for mitigating aflatoxins, based on the findings of the</w:t>
      </w:r>
      <w:r w:rsidR="004B40C4">
        <w:rPr>
          <w:rFonts w:cs="Arial"/>
        </w:rPr>
        <w:t xml:space="preserve"> situational analysis.</w:t>
      </w:r>
    </w:p>
    <w:p w:rsidR="004B40C4" w:rsidRDefault="004B40C4" w:rsidP="007B053F">
      <w:pPr>
        <w:spacing w:before="0"/>
        <w:jc w:val="both"/>
        <w:rPr>
          <w:rFonts w:cs="Arial"/>
        </w:rPr>
      </w:pPr>
    </w:p>
    <w:p w:rsidR="004B40C4" w:rsidRDefault="007B053F" w:rsidP="007B053F">
      <w:pPr>
        <w:spacing w:before="0"/>
        <w:jc w:val="both"/>
      </w:pPr>
      <w:r>
        <w:rPr>
          <w:rFonts w:cs="Arial"/>
        </w:rPr>
        <w:t>In the reporting period</w:t>
      </w:r>
      <w:r w:rsidR="004B40C4">
        <w:rPr>
          <w:rFonts w:cs="Arial"/>
        </w:rPr>
        <w:t xml:space="preserve"> Ja</w:t>
      </w:r>
      <w:r w:rsidR="000471DF">
        <w:rPr>
          <w:rFonts w:cs="Arial"/>
        </w:rPr>
        <w:t>nuary-</w:t>
      </w:r>
      <w:r w:rsidR="004B40C4">
        <w:rPr>
          <w:rFonts w:cs="Arial"/>
        </w:rPr>
        <w:t>June 2016</w:t>
      </w:r>
      <w:r>
        <w:rPr>
          <w:rFonts w:cs="Arial"/>
        </w:rPr>
        <w:t>, t</w:t>
      </w:r>
      <w:r w:rsidR="00BD3919">
        <w:t xml:space="preserve">he PACA Secretariat </w:t>
      </w:r>
      <w:r>
        <w:t xml:space="preserve">continued to provide technical external reviews </w:t>
      </w:r>
      <w:r w:rsidR="004B40C4">
        <w:t>of the C-SAAP documents</w:t>
      </w:r>
      <w:r w:rsidR="0015514E">
        <w:t xml:space="preserve"> with support from </w:t>
      </w:r>
      <w:proofErr w:type="spellStart"/>
      <w:r w:rsidR="0015514E">
        <w:t>Abt</w:t>
      </w:r>
      <w:proofErr w:type="spellEnd"/>
      <w:r w:rsidR="0015514E">
        <w:t xml:space="preserve"> Associates</w:t>
      </w:r>
      <w:r w:rsidR="004B40C4">
        <w:t xml:space="preserve"> in order to ensure </w:t>
      </w:r>
      <w:r w:rsidR="004B40C4" w:rsidRPr="007B053F">
        <w:t>consistency and highe</w:t>
      </w:r>
      <w:r w:rsidR="004B40C4">
        <w:t xml:space="preserve">st technical standards of the </w:t>
      </w:r>
      <w:r w:rsidR="004B40C4" w:rsidRPr="007B053F">
        <w:t>documents</w:t>
      </w:r>
      <w:r w:rsidR="004B40C4">
        <w:t xml:space="preserve"> across the Pilot Countries. </w:t>
      </w:r>
    </w:p>
    <w:p w:rsidR="004B40C4" w:rsidRDefault="004B40C4" w:rsidP="007B053F">
      <w:pPr>
        <w:spacing w:before="0"/>
        <w:jc w:val="both"/>
      </w:pPr>
    </w:p>
    <w:p w:rsidR="004B40C4" w:rsidRPr="00DF5AB3" w:rsidRDefault="004B40C4" w:rsidP="00D80A85">
      <w:pPr>
        <w:pStyle w:val="ListParagraph"/>
        <w:numPr>
          <w:ilvl w:val="2"/>
          <w:numId w:val="2"/>
        </w:numPr>
        <w:spacing w:before="0"/>
        <w:jc w:val="both"/>
        <w:rPr>
          <w:rFonts w:cs="Arial"/>
          <w:b/>
          <w:i/>
          <w:color w:val="4F6228" w:themeColor="accent3" w:themeShade="80"/>
        </w:rPr>
      </w:pPr>
      <w:r w:rsidRPr="00DF5AB3">
        <w:rPr>
          <w:rFonts w:cs="Arial"/>
          <w:b/>
          <w:i/>
          <w:color w:val="4F6228" w:themeColor="accent3" w:themeShade="80"/>
        </w:rPr>
        <w:t>Tanzania</w:t>
      </w:r>
    </w:p>
    <w:p w:rsidR="0015514E" w:rsidRDefault="0015514E" w:rsidP="0015514E">
      <w:pPr>
        <w:spacing w:before="0"/>
        <w:jc w:val="both"/>
      </w:pPr>
      <w:r>
        <w:t xml:space="preserve">Tanzania finalized C-SAAP study and validated the national aflatoxin action plan in May 2015. Furthermore, Tanzania consultants have addressed comments emerging from the external review of </w:t>
      </w:r>
      <w:proofErr w:type="spellStart"/>
      <w:r>
        <w:t>Abt</w:t>
      </w:r>
      <w:proofErr w:type="spellEnd"/>
      <w:r>
        <w:t xml:space="preserve"> Associates. The </w:t>
      </w:r>
      <w:r w:rsidR="003C34A8">
        <w:t xml:space="preserve">Tanzania </w:t>
      </w:r>
      <w:r>
        <w:t>C-SAAP report will be designed and disseminated widely in the 3</w:t>
      </w:r>
      <w:r w:rsidRPr="0015514E">
        <w:rPr>
          <w:vertAlign w:val="superscript"/>
        </w:rPr>
        <w:t>rd</w:t>
      </w:r>
      <w:r>
        <w:t xml:space="preserve"> quarter</w:t>
      </w:r>
      <w:r w:rsidR="00A14487">
        <w:t xml:space="preserve"> of 2016</w:t>
      </w:r>
      <w:r>
        <w:t xml:space="preserve">. </w:t>
      </w:r>
    </w:p>
    <w:p w:rsidR="008965D3" w:rsidRDefault="008965D3" w:rsidP="008965D3">
      <w:pPr>
        <w:spacing w:before="0"/>
        <w:jc w:val="both"/>
      </w:pPr>
    </w:p>
    <w:p w:rsidR="0070225B" w:rsidRPr="0070225B" w:rsidRDefault="004B40C4" w:rsidP="00D80A85">
      <w:pPr>
        <w:pStyle w:val="ListParagraph"/>
        <w:numPr>
          <w:ilvl w:val="2"/>
          <w:numId w:val="2"/>
        </w:numPr>
        <w:spacing w:before="0"/>
        <w:jc w:val="both"/>
        <w:rPr>
          <w:rFonts w:cs="Arial"/>
          <w:b/>
          <w:i/>
          <w:color w:val="4F6228" w:themeColor="accent3" w:themeShade="80"/>
        </w:rPr>
      </w:pPr>
      <w:r w:rsidRPr="004B40C4">
        <w:rPr>
          <w:rFonts w:cs="Arial"/>
          <w:b/>
          <w:i/>
          <w:color w:val="4F6228" w:themeColor="accent3" w:themeShade="80"/>
        </w:rPr>
        <w:t>Uganda</w:t>
      </w:r>
    </w:p>
    <w:p w:rsidR="00DD19A6" w:rsidRDefault="008965D3" w:rsidP="00044561">
      <w:pPr>
        <w:spacing w:before="0"/>
        <w:jc w:val="both"/>
      </w:pPr>
      <w:r>
        <w:t xml:space="preserve">Uganda validated their </w:t>
      </w:r>
      <w:r w:rsidR="00DD19A6">
        <w:t>C-SAAP</w:t>
      </w:r>
      <w:r w:rsidR="000D0ADE">
        <w:t xml:space="preserve"> in</w:t>
      </w:r>
      <w:r w:rsidR="00DD19A6">
        <w:t xml:space="preserve"> </w:t>
      </w:r>
      <w:r>
        <w:t xml:space="preserve">June 2015. </w:t>
      </w:r>
      <w:r w:rsidR="00DD19A6">
        <w:t xml:space="preserve">PACA Secretariat is working with </w:t>
      </w:r>
      <w:r w:rsidR="00DD19A6" w:rsidRPr="00DD19A6">
        <w:t>Uganda</w:t>
      </w:r>
      <w:r w:rsidR="00DD19A6">
        <w:t xml:space="preserve"> to externally review the s</w:t>
      </w:r>
      <w:r w:rsidR="000D0ADE">
        <w:t>itu</w:t>
      </w:r>
      <w:r w:rsidR="00DD19A6">
        <w:t>ation</w:t>
      </w:r>
      <w:r w:rsidR="000D0ADE">
        <w:t>al</w:t>
      </w:r>
      <w:r w:rsidR="00DD19A6">
        <w:t xml:space="preserve"> analysis document. The technical </w:t>
      </w:r>
      <w:r w:rsidR="00DD19A6" w:rsidRPr="00DD19A6">
        <w:t xml:space="preserve">review process </w:t>
      </w:r>
      <w:r w:rsidR="00DD19A6">
        <w:t>will be finalized in the</w:t>
      </w:r>
      <w:r w:rsidR="000471DF">
        <w:t xml:space="preserve"> 3</w:t>
      </w:r>
      <w:r w:rsidR="000471DF" w:rsidRPr="000471DF">
        <w:rPr>
          <w:vertAlign w:val="superscript"/>
        </w:rPr>
        <w:t>rd</w:t>
      </w:r>
      <w:r w:rsidR="000471DF">
        <w:t xml:space="preserve"> </w:t>
      </w:r>
      <w:r w:rsidR="00DD19A6" w:rsidRPr="00DD19A6">
        <w:t>quarter</w:t>
      </w:r>
      <w:r w:rsidR="00DD19A6">
        <w:t xml:space="preserve"> of 2016</w:t>
      </w:r>
      <w:r w:rsidR="00DD19A6" w:rsidRPr="00DD19A6">
        <w:t xml:space="preserve">. </w:t>
      </w:r>
    </w:p>
    <w:p w:rsidR="008965D3" w:rsidRDefault="008965D3" w:rsidP="008965D3">
      <w:pPr>
        <w:spacing w:before="0"/>
        <w:jc w:val="both"/>
        <w:rPr>
          <w:rFonts w:cs="Arial"/>
          <w:b/>
          <w:i/>
          <w:color w:val="4F6228" w:themeColor="accent3" w:themeShade="80"/>
        </w:rPr>
      </w:pPr>
    </w:p>
    <w:p w:rsidR="004B40C4" w:rsidRPr="00044561" w:rsidRDefault="004B40C4" w:rsidP="00D80A85">
      <w:pPr>
        <w:pStyle w:val="ListParagraph"/>
        <w:numPr>
          <w:ilvl w:val="2"/>
          <w:numId w:val="2"/>
        </w:numPr>
        <w:spacing w:before="0"/>
        <w:jc w:val="both"/>
        <w:rPr>
          <w:rFonts w:cs="Arial"/>
          <w:b/>
          <w:i/>
          <w:color w:val="4F6228" w:themeColor="accent3" w:themeShade="80"/>
        </w:rPr>
      </w:pPr>
      <w:r w:rsidRPr="004B40C4">
        <w:rPr>
          <w:rFonts w:cs="Arial"/>
          <w:b/>
          <w:i/>
          <w:color w:val="4F6228" w:themeColor="accent3" w:themeShade="80"/>
        </w:rPr>
        <w:lastRenderedPageBreak/>
        <w:t xml:space="preserve">Malawi </w:t>
      </w:r>
    </w:p>
    <w:p w:rsidR="002B5876" w:rsidRDefault="00DD19A6" w:rsidP="002B5876">
      <w:pPr>
        <w:spacing w:before="0"/>
        <w:jc w:val="both"/>
      </w:pPr>
      <w:r>
        <w:t xml:space="preserve">Malawi developed an inception report of the economic impact assessment to supplement the Malawi Program for Aflatoxin Control (MAPAC) in 2015. The inception report was externally reviewed by </w:t>
      </w:r>
      <w:proofErr w:type="spellStart"/>
      <w:r>
        <w:t>Abt</w:t>
      </w:r>
      <w:proofErr w:type="spellEnd"/>
      <w:r>
        <w:t xml:space="preserve"> Associates.  </w:t>
      </w:r>
      <w:r w:rsidR="007B053F" w:rsidRPr="007B053F">
        <w:t xml:space="preserve">Malawi has identified consultants to engage for incorporating the external review comments and finalization of the supplemental economic impact analysis document which will be </w:t>
      </w:r>
      <w:r w:rsidR="002B5876">
        <w:t>finalized in the third quarter</w:t>
      </w:r>
      <w:r w:rsidR="000D0ADE">
        <w:t xml:space="preserve"> of 2016</w:t>
      </w:r>
      <w:r w:rsidR="002B5876">
        <w:t>.</w:t>
      </w:r>
    </w:p>
    <w:p w:rsidR="00BD3919" w:rsidRDefault="00BD3919" w:rsidP="00BD3919">
      <w:pPr>
        <w:spacing w:after="200" w:line="276" w:lineRule="auto"/>
        <w:jc w:val="both"/>
      </w:pPr>
      <w:r w:rsidRPr="00D03C20">
        <w:t xml:space="preserve">For results of the C-SAAP in the three countries, please refer to the </w:t>
      </w:r>
      <w:r>
        <w:t xml:space="preserve">report on </w:t>
      </w:r>
      <w:r w:rsidRPr="00D03C20">
        <w:t>salient findings</w:t>
      </w:r>
      <w:r>
        <w:t xml:space="preserve"> of C-SAAP </w:t>
      </w:r>
      <w:r w:rsidR="007B053F" w:rsidRPr="007B053F">
        <w:rPr>
          <w:b/>
          <w:highlight w:val="yellow"/>
        </w:rPr>
        <w:t>(PACA/SCM/Aug16/XX</w:t>
      </w:r>
      <w:r w:rsidRPr="007B053F">
        <w:rPr>
          <w:b/>
          <w:highlight w:val="yellow"/>
        </w:rPr>
        <w:t>).</w:t>
      </w:r>
    </w:p>
    <w:p w:rsidR="00DF5AB3" w:rsidRDefault="00DF5AB3" w:rsidP="00D80A85">
      <w:pPr>
        <w:pStyle w:val="ListParagraph"/>
        <w:numPr>
          <w:ilvl w:val="1"/>
          <w:numId w:val="2"/>
        </w:numPr>
        <w:spacing w:before="0"/>
        <w:jc w:val="both"/>
        <w:rPr>
          <w:rFonts w:cs="Arial"/>
          <w:b/>
          <w:i/>
          <w:color w:val="4F6228" w:themeColor="accent3" w:themeShade="80"/>
        </w:rPr>
      </w:pPr>
      <w:r w:rsidRPr="00DF5AB3">
        <w:rPr>
          <w:rFonts w:cs="Arial"/>
          <w:b/>
          <w:i/>
          <w:color w:val="4F6228" w:themeColor="accent3" w:themeShade="80"/>
        </w:rPr>
        <w:t xml:space="preserve">Mainstreaming food safety and aflatoxin control in CAADP National Agriculture and Food Security Investment Plans (Mainstream </w:t>
      </w:r>
      <w:proofErr w:type="spellStart"/>
      <w:r w:rsidRPr="00DF5AB3">
        <w:rPr>
          <w:rFonts w:cs="Arial"/>
          <w:b/>
          <w:i/>
          <w:color w:val="4F6228" w:themeColor="accent3" w:themeShade="80"/>
        </w:rPr>
        <w:t>FoodSAC</w:t>
      </w:r>
      <w:proofErr w:type="spellEnd"/>
      <w:r w:rsidRPr="00DF5AB3">
        <w:rPr>
          <w:rFonts w:cs="Arial"/>
          <w:b/>
          <w:i/>
          <w:color w:val="4F6228" w:themeColor="accent3" w:themeShade="80"/>
        </w:rPr>
        <w:t>)</w:t>
      </w:r>
    </w:p>
    <w:p w:rsidR="00B16BD8" w:rsidRPr="00B16BD8" w:rsidRDefault="00B16BD8" w:rsidP="00670934">
      <w:pPr>
        <w:spacing w:before="0"/>
        <w:jc w:val="both"/>
      </w:pPr>
      <w:bookmarkStart w:id="0" w:name="_GoBack"/>
      <w:r w:rsidRPr="00B16BD8">
        <w:t xml:space="preserve">The aflatoxin challenge can be addressed effectively and in a more sustainable and comprehensive fashion if it is mainstreamed in existing frameworks and structures, such as CAADP National Agriculture and Food Security Investment Plans (NAFSIPs). </w:t>
      </w:r>
      <w:r>
        <w:t xml:space="preserve">Therefore PACA Secretariat has been working with Malawi, Tanzania and Uganda to ensure that </w:t>
      </w:r>
      <w:r w:rsidR="0051724A">
        <w:t xml:space="preserve">the national </w:t>
      </w:r>
      <w:r>
        <w:t>aflatoxin action plan</w:t>
      </w:r>
      <w:r w:rsidR="0051724A">
        <w:t>s</w:t>
      </w:r>
      <w:r>
        <w:t xml:space="preserve"> are mainstreamed into their respective NAFSIP</w:t>
      </w:r>
      <w:r>
        <w:rPr>
          <w:rStyle w:val="FootnoteReference"/>
        </w:rPr>
        <w:footnoteReference w:id="1"/>
      </w:r>
      <w:r w:rsidR="0051724A">
        <w:t xml:space="preserve">. </w:t>
      </w:r>
    </w:p>
    <w:bookmarkEnd w:id="0"/>
    <w:p w:rsidR="00B16BD8" w:rsidRPr="00DF5AB3" w:rsidRDefault="00B16BD8" w:rsidP="00D80A85">
      <w:pPr>
        <w:pStyle w:val="ListParagraph"/>
        <w:numPr>
          <w:ilvl w:val="2"/>
          <w:numId w:val="2"/>
        </w:numPr>
        <w:jc w:val="both"/>
        <w:rPr>
          <w:rFonts w:cs="Arial"/>
          <w:b/>
          <w:i/>
          <w:color w:val="4F6228" w:themeColor="accent3" w:themeShade="80"/>
        </w:rPr>
      </w:pPr>
      <w:r>
        <w:rPr>
          <w:rFonts w:cs="Arial"/>
          <w:b/>
          <w:i/>
          <w:color w:val="4F6228" w:themeColor="accent3" w:themeShade="80"/>
        </w:rPr>
        <w:t>Tanzania</w:t>
      </w:r>
    </w:p>
    <w:p w:rsidR="00DF5AB3" w:rsidRDefault="00DF5AB3" w:rsidP="00DF5AB3">
      <w:pPr>
        <w:spacing w:before="0"/>
        <w:jc w:val="both"/>
      </w:pPr>
      <w:r>
        <w:t>Tanzania action plan was mainstreamed into the Agriculture Sector Strategic Plan (ASDP II) to be implemented through the Tanzania Food and Agriculture Investment Plan (TAFSIP). Following which, Tanzania convened its business meeting on 12 May 2016 where the Government pledged support to submit the aflatoxin control action plan through the national budgeting process for funding. Focal points from the PACA Pilot Countries in Senegal, Gambia, Malawi and Uganda participated in the Tanzania business meeting in order to learn</w:t>
      </w:r>
      <w:r w:rsidRPr="00AD1E21">
        <w:t xml:space="preserve"> lessons that emerge</w:t>
      </w:r>
      <w:r>
        <w:t>d</w:t>
      </w:r>
      <w:r w:rsidRPr="00AD1E21">
        <w:t xml:space="preserve"> in the process </w:t>
      </w:r>
      <w:r>
        <w:t>for application in the respective Countries.</w:t>
      </w:r>
    </w:p>
    <w:p w:rsidR="0051724A" w:rsidRPr="0051724A" w:rsidRDefault="0051724A" w:rsidP="00D80A85">
      <w:pPr>
        <w:pStyle w:val="ListParagraph"/>
        <w:numPr>
          <w:ilvl w:val="2"/>
          <w:numId w:val="2"/>
        </w:numPr>
        <w:jc w:val="both"/>
        <w:rPr>
          <w:rFonts w:cs="Arial"/>
          <w:b/>
          <w:i/>
          <w:color w:val="4F6228" w:themeColor="accent3" w:themeShade="80"/>
        </w:rPr>
      </w:pPr>
      <w:r>
        <w:rPr>
          <w:rFonts w:cs="Arial"/>
          <w:b/>
          <w:i/>
          <w:color w:val="4F6228" w:themeColor="accent3" w:themeShade="80"/>
        </w:rPr>
        <w:t>Uganda</w:t>
      </w:r>
    </w:p>
    <w:p w:rsidR="0051724A" w:rsidRDefault="00DF5AB3" w:rsidP="00DF5AB3">
      <w:pPr>
        <w:spacing w:before="0"/>
        <w:jc w:val="both"/>
      </w:pPr>
      <w:r>
        <w:t xml:space="preserve">The national consultants </w:t>
      </w:r>
      <w:r w:rsidR="0051724A">
        <w:t xml:space="preserve">in Uganda </w:t>
      </w:r>
      <w:r>
        <w:t xml:space="preserve">with support from PACA Secretariat continue to work </w:t>
      </w:r>
      <w:r w:rsidR="0051724A">
        <w:t xml:space="preserve">with </w:t>
      </w:r>
      <w:r>
        <w:t>the Government</w:t>
      </w:r>
      <w:r w:rsidR="000D0ADE">
        <w:t xml:space="preserve"> of Uganda</w:t>
      </w:r>
      <w:r>
        <w:t xml:space="preserve"> to finalize the mainstreaming of the action plan into the Agriculture Sector Strategic Plan (ASSP). Once the action plan has been mainstreamed and t</w:t>
      </w:r>
      <w:r w:rsidRPr="00763E44">
        <w:t xml:space="preserve">o ensure effective implementation of </w:t>
      </w:r>
      <w:r>
        <w:t xml:space="preserve">plan, </w:t>
      </w:r>
      <w:r w:rsidRPr="00763E44">
        <w:t>PACA will</w:t>
      </w:r>
      <w:r>
        <w:t>, in the 3</w:t>
      </w:r>
      <w:r w:rsidRPr="006E752F">
        <w:rPr>
          <w:vertAlign w:val="superscript"/>
        </w:rPr>
        <w:t>rd</w:t>
      </w:r>
      <w:r>
        <w:t xml:space="preserve"> quarter of 2016, </w:t>
      </w:r>
      <w:r w:rsidRPr="00763E44">
        <w:t>support the Republic of Uganda in designing a funding strategy and convening a business meeting with key stakeholders including the Commissioner for Rural Economy and Agriculture - AUC, Government line Ministry representatives, Regional Economic Communities (RECs), Development Partners, and Private Sector in order to agree on a resource mobilization strategy. The business meeting will provide a platform for stakeholders to agree on the funding strategy and implementation road map that will ensure sustainable and predictable funding for implementing the aflatoxin control action plan.</w:t>
      </w:r>
    </w:p>
    <w:p w:rsidR="00670934" w:rsidRDefault="00670934" w:rsidP="00DF5AB3">
      <w:pPr>
        <w:spacing w:before="0"/>
        <w:jc w:val="both"/>
      </w:pPr>
    </w:p>
    <w:p w:rsidR="005E1B68" w:rsidRDefault="005E1B68" w:rsidP="00DF5AB3">
      <w:pPr>
        <w:spacing w:before="0"/>
        <w:jc w:val="both"/>
      </w:pPr>
    </w:p>
    <w:p w:rsidR="008B6F54" w:rsidRPr="008B6F54" w:rsidRDefault="0051724A" w:rsidP="00D80A85">
      <w:pPr>
        <w:pStyle w:val="ListParagraph"/>
        <w:numPr>
          <w:ilvl w:val="2"/>
          <w:numId w:val="2"/>
        </w:numPr>
        <w:jc w:val="both"/>
        <w:rPr>
          <w:rFonts w:cs="Arial"/>
          <w:b/>
          <w:i/>
          <w:color w:val="4F6228" w:themeColor="accent3" w:themeShade="80"/>
        </w:rPr>
      </w:pPr>
      <w:r w:rsidRPr="0051724A">
        <w:rPr>
          <w:rFonts w:cs="Arial"/>
          <w:b/>
          <w:i/>
          <w:color w:val="4F6228" w:themeColor="accent3" w:themeShade="80"/>
        </w:rPr>
        <w:lastRenderedPageBreak/>
        <w:t>Malawi</w:t>
      </w:r>
    </w:p>
    <w:p w:rsidR="008B6F54" w:rsidRDefault="00DF5AB3" w:rsidP="00DF5AB3">
      <w:pPr>
        <w:spacing w:before="0"/>
        <w:jc w:val="both"/>
      </w:pPr>
      <w:r>
        <w:t>Malawi continues to implement the MAPAC priority activities with a major focus on communications strategy and development of a food safety policy and food safety bill. Through these efforts, Malawi developed and validated an Aflatoxin Control Communication, Awareness and Skills Development Strategy in June 2016. Additionally, Malawi</w:t>
      </w:r>
      <w:r w:rsidR="000471DF">
        <w:t xml:space="preserve"> government with support from the World Bank</w:t>
      </w:r>
      <w:r>
        <w:t xml:space="preserve"> has since</w:t>
      </w:r>
      <w:r w:rsidR="000471DF">
        <w:t xml:space="preserve"> allocated</w:t>
      </w:r>
      <w:r>
        <w:t xml:space="preserve"> </w:t>
      </w:r>
      <w:r w:rsidRPr="002B5876">
        <w:rPr>
          <w:rFonts w:ascii="HelveticaNeue-Light" w:hAnsi="HelveticaNeue-Light"/>
          <w:color w:val="000000"/>
        </w:rPr>
        <w:t>$</w:t>
      </w:r>
      <w:r w:rsidRPr="002B5876">
        <w:t xml:space="preserve">38,571 for implementing the communications strategy, and $40,000 for developing the Food Safety Policy. </w:t>
      </w:r>
      <w:r w:rsidR="008B6F54">
        <w:t xml:space="preserve">Malawi with support from PACA is partnering with FAO to support the Country to develop a food safety bill to legalize the food safety policy. </w:t>
      </w:r>
    </w:p>
    <w:p w:rsidR="008B6F54" w:rsidRDefault="008B6F54" w:rsidP="00DF5AB3">
      <w:pPr>
        <w:spacing w:before="0"/>
        <w:jc w:val="both"/>
      </w:pPr>
    </w:p>
    <w:p w:rsidR="008B6F54" w:rsidRDefault="008B6F54" w:rsidP="00DF5AB3">
      <w:pPr>
        <w:spacing w:before="0"/>
        <w:jc w:val="both"/>
      </w:pPr>
      <w:r>
        <w:t xml:space="preserve">PACA will continue supporting Malawi to </w:t>
      </w:r>
      <w:r w:rsidR="00C3191D">
        <w:t>finalize</w:t>
      </w:r>
      <w:r>
        <w:t xml:space="preserve"> the economic impact assessment which will inform the revision of the MAPAC. Furthermore, the priority action plans of the MAPAC will be mainstreamed into the Agriculture Sector Wide Approach and a business meeting for mobilizing resources will be held in the 4</w:t>
      </w:r>
      <w:r w:rsidRPr="008B6F54">
        <w:rPr>
          <w:vertAlign w:val="superscript"/>
        </w:rPr>
        <w:t>th</w:t>
      </w:r>
      <w:r w:rsidR="000471DF">
        <w:t xml:space="preserve"> q</w:t>
      </w:r>
      <w:r>
        <w:t xml:space="preserve">uarter of 2016. </w:t>
      </w:r>
    </w:p>
    <w:p w:rsidR="007369E4" w:rsidRPr="00670934" w:rsidRDefault="007369E4" w:rsidP="00D80A85">
      <w:pPr>
        <w:pStyle w:val="ListParagraph"/>
        <w:numPr>
          <w:ilvl w:val="0"/>
          <w:numId w:val="2"/>
        </w:numPr>
        <w:jc w:val="both"/>
        <w:rPr>
          <w:rFonts w:cs="Arial"/>
          <w:b/>
          <w:color w:val="4F6228" w:themeColor="accent3" w:themeShade="80"/>
          <w:sz w:val="24"/>
          <w:szCs w:val="24"/>
        </w:rPr>
      </w:pPr>
      <w:r w:rsidRPr="00670934">
        <w:rPr>
          <w:rFonts w:cs="Arial"/>
          <w:b/>
          <w:color w:val="4F6228" w:themeColor="accent3" w:themeShade="80"/>
          <w:sz w:val="24"/>
          <w:szCs w:val="24"/>
        </w:rPr>
        <w:t xml:space="preserve">Other country level PACA activities </w:t>
      </w:r>
    </w:p>
    <w:p w:rsidR="00EB59FB" w:rsidRPr="007B1B2D" w:rsidRDefault="00EB59FB" w:rsidP="00D80A85">
      <w:pPr>
        <w:pStyle w:val="ListParagraph"/>
        <w:numPr>
          <w:ilvl w:val="1"/>
          <w:numId w:val="1"/>
        </w:numPr>
        <w:spacing w:before="0"/>
        <w:jc w:val="both"/>
        <w:rPr>
          <w:rFonts w:cs="Arial"/>
          <w:i/>
          <w:color w:val="4F6228" w:themeColor="accent3" w:themeShade="80"/>
        </w:rPr>
      </w:pPr>
      <w:r w:rsidRPr="007B1B2D">
        <w:rPr>
          <w:b/>
          <w:i/>
          <w:color w:val="4F6228" w:themeColor="accent3" w:themeShade="80"/>
        </w:rPr>
        <w:t>Country Officer Hire</w:t>
      </w:r>
    </w:p>
    <w:p w:rsidR="00206A0A" w:rsidRPr="00206A0A" w:rsidRDefault="00206A0A" w:rsidP="007B1B2D">
      <w:pPr>
        <w:spacing w:before="0"/>
        <w:jc w:val="both"/>
        <w:rPr>
          <w:rFonts w:cs="Arial"/>
        </w:rPr>
      </w:pPr>
      <w:r w:rsidRPr="00206A0A">
        <w:rPr>
          <w:rFonts w:cs="Arial"/>
        </w:rPr>
        <w:t>In order to execute the country pl</w:t>
      </w:r>
      <w:r>
        <w:rPr>
          <w:rFonts w:cs="Arial"/>
        </w:rPr>
        <w:t>ans mainstreamed into the NAFSIPs</w:t>
      </w:r>
      <w:r w:rsidRPr="00206A0A">
        <w:rPr>
          <w:rFonts w:cs="Arial"/>
        </w:rPr>
        <w:t>, PACA will hire Country Officers in each of the Pilot Countries. The Country Officers</w:t>
      </w:r>
      <w:r>
        <w:rPr>
          <w:rFonts w:cs="Arial"/>
        </w:rPr>
        <w:t xml:space="preserve"> (Cos)</w:t>
      </w:r>
      <w:r w:rsidRPr="00206A0A">
        <w:rPr>
          <w:rFonts w:cs="Arial"/>
        </w:rPr>
        <w:t xml:space="preserve"> will play key roles especially in aligning stakeholders around the country plans. They will also play a unique role in accelerating the institutionalization of country plans as part of national strategies (mainstreaming into NAFSIPs and other frameworks). </w:t>
      </w:r>
    </w:p>
    <w:p w:rsidR="00752438" w:rsidRDefault="00C42540" w:rsidP="00206A0A">
      <w:pPr>
        <w:jc w:val="both"/>
        <w:rPr>
          <w:rFonts w:cs="Arial"/>
        </w:rPr>
      </w:pPr>
      <w:r>
        <w:rPr>
          <w:rFonts w:cs="Arial"/>
        </w:rPr>
        <w:t xml:space="preserve">In this regard, </w:t>
      </w:r>
      <w:r w:rsidR="00206A0A" w:rsidRPr="00206A0A">
        <w:rPr>
          <w:rFonts w:cs="Arial"/>
        </w:rPr>
        <w:t>Malawi, Uganda and Tanzania working closely with PACA Secretariat and Aflatoxin Technical Working Groups</w:t>
      </w:r>
      <w:r>
        <w:rPr>
          <w:rFonts w:cs="Arial"/>
        </w:rPr>
        <w:t>/Steering Committees</w:t>
      </w:r>
      <w:r w:rsidR="00206A0A" w:rsidRPr="00206A0A">
        <w:rPr>
          <w:rFonts w:cs="Arial"/>
        </w:rPr>
        <w:t xml:space="preserve"> selected potential candidates for the </w:t>
      </w:r>
      <w:r w:rsidR="00206A0A">
        <w:rPr>
          <w:rFonts w:cs="Arial"/>
        </w:rPr>
        <w:t>CO po</w:t>
      </w:r>
      <w:r w:rsidR="00206A0A" w:rsidRPr="00206A0A">
        <w:rPr>
          <w:rFonts w:cs="Arial"/>
        </w:rPr>
        <w:t>sition</w:t>
      </w:r>
      <w:r w:rsidR="00206A0A">
        <w:rPr>
          <w:rFonts w:cs="Arial"/>
        </w:rPr>
        <w:t>s</w:t>
      </w:r>
      <w:r w:rsidR="00206A0A" w:rsidRPr="00206A0A">
        <w:rPr>
          <w:rFonts w:cs="Arial"/>
        </w:rPr>
        <w:t>.</w:t>
      </w:r>
      <w:r w:rsidR="00206A0A">
        <w:rPr>
          <w:rFonts w:cs="Arial"/>
        </w:rPr>
        <w:t xml:space="preserve"> </w:t>
      </w:r>
      <w:r w:rsidR="00752438" w:rsidRPr="00652B76">
        <w:rPr>
          <w:rFonts w:cs="Arial"/>
        </w:rPr>
        <w:t xml:space="preserve">The following steps have been taken to hire </w:t>
      </w:r>
      <w:r w:rsidR="00206A0A">
        <w:rPr>
          <w:rFonts w:cs="Arial"/>
        </w:rPr>
        <w:t xml:space="preserve">Cos in Malawi Uganda and Tanzania. </w:t>
      </w:r>
    </w:p>
    <w:p w:rsidR="00670934" w:rsidRPr="00652B76" w:rsidRDefault="00670934" w:rsidP="00206A0A">
      <w:pPr>
        <w:jc w:val="both"/>
        <w:rPr>
          <w:rFonts w:cs="Arial"/>
        </w:rPr>
      </w:pPr>
    </w:p>
    <w:p w:rsidR="00A0397C" w:rsidRPr="00E865F7" w:rsidRDefault="00E865F7" w:rsidP="00D80A85">
      <w:pPr>
        <w:pStyle w:val="ListParagraph"/>
        <w:numPr>
          <w:ilvl w:val="2"/>
          <w:numId w:val="2"/>
        </w:numPr>
        <w:spacing w:before="0"/>
        <w:jc w:val="both"/>
        <w:rPr>
          <w:rFonts w:cs="Arial"/>
          <w:b/>
          <w:i/>
          <w:color w:val="4F6228" w:themeColor="accent3" w:themeShade="80"/>
        </w:rPr>
      </w:pPr>
      <w:r>
        <w:rPr>
          <w:rFonts w:cs="Arial"/>
          <w:b/>
          <w:i/>
          <w:color w:val="4F6228" w:themeColor="accent3" w:themeShade="80"/>
        </w:rPr>
        <w:t>Malawi</w:t>
      </w:r>
      <w:r w:rsidR="00752438" w:rsidRPr="00E865F7">
        <w:rPr>
          <w:rFonts w:cs="Arial"/>
          <w:b/>
          <w:i/>
          <w:color w:val="4F6228" w:themeColor="accent3" w:themeShade="80"/>
        </w:rPr>
        <w:t xml:space="preserve"> </w:t>
      </w:r>
    </w:p>
    <w:p w:rsidR="004E2B8A" w:rsidRDefault="004E2B8A" w:rsidP="00670934">
      <w:pPr>
        <w:spacing w:before="0"/>
        <w:jc w:val="both"/>
      </w:pPr>
      <w:r>
        <w:t>The African Union Commission and the Government of Malawi have in place a Memorandum of Agreement to hire and host a PACA Country Officer in the Ministry of Industry Trade and Tourism (</w:t>
      </w:r>
      <w:proofErr w:type="spellStart"/>
      <w:r>
        <w:t>MoITT</w:t>
      </w:r>
      <w:proofErr w:type="spellEnd"/>
      <w:r>
        <w:t>). The Malawi CO – Mr. Mphatso Dakamau was selected through a transparent and rigorous process involving representatives from PACA Steering Committee, AUC, PACA Secretariat and representatives from the MAPAC Technical Working Group, and the three Sector Ministries of Health, Trade and Agriculture. Mr. Dakamau</w:t>
      </w:r>
      <w:r w:rsidR="00912E73">
        <w:t xml:space="preserve"> has accepted the job offer and</w:t>
      </w:r>
      <w:r>
        <w:t xml:space="preserve"> will start work as a Country Officer on 1 July 2016.</w:t>
      </w:r>
    </w:p>
    <w:p w:rsidR="00670934" w:rsidRDefault="00670934" w:rsidP="00670934">
      <w:pPr>
        <w:spacing w:before="0"/>
        <w:jc w:val="both"/>
      </w:pPr>
    </w:p>
    <w:p w:rsidR="004E2B8A" w:rsidRDefault="004E2B8A" w:rsidP="00D80A85">
      <w:pPr>
        <w:pStyle w:val="ListParagraph"/>
        <w:numPr>
          <w:ilvl w:val="2"/>
          <w:numId w:val="2"/>
        </w:numPr>
        <w:spacing w:before="0"/>
        <w:jc w:val="both"/>
        <w:rPr>
          <w:rFonts w:cs="Arial"/>
          <w:b/>
          <w:i/>
          <w:color w:val="4F6228" w:themeColor="accent3" w:themeShade="80"/>
        </w:rPr>
      </w:pPr>
      <w:r>
        <w:rPr>
          <w:rFonts w:cs="Arial"/>
          <w:b/>
          <w:i/>
          <w:color w:val="4F6228" w:themeColor="accent3" w:themeShade="80"/>
        </w:rPr>
        <w:t>Tanzania</w:t>
      </w:r>
      <w:r w:rsidRPr="004E2B8A">
        <w:rPr>
          <w:rFonts w:cs="Arial"/>
          <w:b/>
          <w:i/>
          <w:color w:val="4F6228" w:themeColor="accent3" w:themeShade="80"/>
        </w:rPr>
        <w:t xml:space="preserve"> </w:t>
      </w:r>
    </w:p>
    <w:p w:rsidR="00912E73" w:rsidRDefault="004E2B8A" w:rsidP="004E2B8A">
      <w:pPr>
        <w:spacing w:before="0"/>
        <w:jc w:val="both"/>
      </w:pPr>
      <w:r>
        <w:t>The African Union Commission and the Government of Tanzania have in place a Memorandum of Agreement to hire and host PACA Country Officer in the Tanzania Food and Drug Authority (TFDA) under the Ministry of Health. The Tanzania CO – Dr. Happy Magoha was selected through a transparent and rigorous process involving representatives from PACA Secretariat, Tanzania Mycot</w:t>
      </w:r>
      <w:r w:rsidR="00C42540">
        <w:t>o</w:t>
      </w:r>
      <w:r>
        <w:t>xin Steering Committee and TFDA.  Dr. Magoha has accepted the jo</w:t>
      </w:r>
      <w:r w:rsidR="00912E73">
        <w:t xml:space="preserve">b offer </w:t>
      </w:r>
      <w:r>
        <w:t xml:space="preserve">and will start work on 1 September 2016. </w:t>
      </w:r>
    </w:p>
    <w:p w:rsidR="004E2B8A" w:rsidRPr="004E2B8A" w:rsidRDefault="00912E73" w:rsidP="00D80A85">
      <w:pPr>
        <w:pStyle w:val="ListParagraph"/>
        <w:numPr>
          <w:ilvl w:val="2"/>
          <w:numId w:val="2"/>
        </w:numPr>
        <w:spacing w:before="0"/>
        <w:jc w:val="both"/>
        <w:rPr>
          <w:rFonts w:cs="Arial"/>
          <w:b/>
          <w:i/>
          <w:color w:val="4F6228" w:themeColor="accent3" w:themeShade="80"/>
        </w:rPr>
      </w:pPr>
      <w:r>
        <w:rPr>
          <w:rFonts w:cs="Arial"/>
          <w:b/>
          <w:i/>
          <w:color w:val="4F6228" w:themeColor="accent3" w:themeShade="80"/>
        </w:rPr>
        <w:lastRenderedPageBreak/>
        <w:t xml:space="preserve">Uganda </w:t>
      </w:r>
    </w:p>
    <w:p w:rsidR="00264C44" w:rsidRDefault="00264C44" w:rsidP="00670934">
      <w:pPr>
        <w:spacing w:before="0"/>
        <w:jc w:val="both"/>
      </w:pPr>
      <w:r>
        <w:t>The African Union Commission and the Government of Uganda are working towards the finalization of a Memorandum of Agreement</w:t>
      </w:r>
      <w:r w:rsidR="005D1F4E">
        <w:t xml:space="preserve"> (</w:t>
      </w:r>
      <w:proofErr w:type="spellStart"/>
      <w:r w:rsidR="005D1F4E">
        <w:t>MoA</w:t>
      </w:r>
      <w:proofErr w:type="spellEnd"/>
      <w:r w:rsidR="005D1F4E">
        <w:t>)</w:t>
      </w:r>
      <w:r>
        <w:t xml:space="preserve"> to enable the Country </w:t>
      </w:r>
      <w:r w:rsidR="005D1F4E">
        <w:t xml:space="preserve">Officer </w:t>
      </w:r>
      <w:r>
        <w:t>Hire. In this regard, t</w:t>
      </w:r>
      <w:r w:rsidRPr="00264C44">
        <w:t xml:space="preserve">he </w:t>
      </w:r>
      <w:proofErr w:type="spellStart"/>
      <w:r w:rsidRPr="00264C44">
        <w:t>MoA</w:t>
      </w:r>
      <w:proofErr w:type="spellEnd"/>
      <w:r w:rsidRPr="00264C44">
        <w:t xml:space="preserve"> has been cleared by both the Ministry of Finance Planning and Economic Development and the Solicitor General</w:t>
      </w:r>
      <w:r>
        <w:t xml:space="preserve"> of Uganda</w:t>
      </w:r>
      <w:r w:rsidR="005D1F4E">
        <w:t>. T</w:t>
      </w:r>
      <w:r w:rsidRPr="00264C44">
        <w:t xml:space="preserve">he cleared </w:t>
      </w:r>
      <w:proofErr w:type="spellStart"/>
      <w:r w:rsidRPr="00264C44">
        <w:t>MoA</w:t>
      </w:r>
      <w:proofErr w:type="spellEnd"/>
      <w:r w:rsidRPr="00264C44">
        <w:t xml:space="preserve"> </w:t>
      </w:r>
      <w:r w:rsidR="005D1F4E">
        <w:t>stipulates</w:t>
      </w:r>
      <w:r>
        <w:t xml:space="preserve"> that the </w:t>
      </w:r>
      <w:proofErr w:type="spellStart"/>
      <w:r>
        <w:t>MoA</w:t>
      </w:r>
      <w:proofErr w:type="spellEnd"/>
      <w:r>
        <w:t xml:space="preserve"> should be governed by Uganda National </w:t>
      </w:r>
      <w:proofErr w:type="gramStart"/>
      <w:r>
        <w:t>Law,</w:t>
      </w:r>
      <w:proofErr w:type="gramEnd"/>
      <w:r>
        <w:t xml:space="preserve"> however, since AUC is an international entity, negotiations are underway to reverse the amendment by Uganda Government to allow for International law to govern the </w:t>
      </w:r>
      <w:proofErr w:type="spellStart"/>
      <w:r>
        <w:t>MoA</w:t>
      </w:r>
      <w:proofErr w:type="spellEnd"/>
      <w:r>
        <w:t>. To expedite implementation of activities in Uganda, PACA Secretariat through Meridian, has put in place a short contract fo</w:t>
      </w:r>
      <w:r w:rsidR="005D1F4E">
        <w:t xml:space="preserve">r the selected Country Officer- </w:t>
      </w:r>
      <w:r>
        <w:t>Ms. Grace Akao</w:t>
      </w:r>
      <w:r w:rsidR="005D1F4E">
        <w:t>. Ms. Akao</w:t>
      </w:r>
      <w:r>
        <w:t xml:space="preserve"> is therefore supporting Uganda Country activities while awaiting the </w:t>
      </w:r>
      <w:r w:rsidR="009127D4">
        <w:t>finalization</w:t>
      </w:r>
      <w:r>
        <w:t xml:space="preserve"> of the </w:t>
      </w:r>
      <w:proofErr w:type="spellStart"/>
      <w:r>
        <w:t>MoA</w:t>
      </w:r>
      <w:proofErr w:type="spellEnd"/>
      <w:r>
        <w:t xml:space="preserve">. PACA Secretariat will continue working with Uganda to </w:t>
      </w:r>
      <w:r w:rsidR="009127D4">
        <w:t>finalize</w:t>
      </w:r>
      <w:r>
        <w:t xml:space="preserve"> the </w:t>
      </w:r>
      <w:proofErr w:type="spellStart"/>
      <w:r>
        <w:t>MoA</w:t>
      </w:r>
      <w:proofErr w:type="spellEnd"/>
      <w:r>
        <w:t xml:space="preserve"> with AUC.</w:t>
      </w:r>
    </w:p>
    <w:p w:rsidR="00264C44" w:rsidRDefault="00264C44" w:rsidP="001678D0">
      <w:pPr>
        <w:jc w:val="both"/>
      </w:pPr>
    </w:p>
    <w:p w:rsidR="009127D4" w:rsidRPr="009127D4" w:rsidRDefault="009127D4" w:rsidP="009127D4">
      <w:pPr>
        <w:spacing w:before="0"/>
        <w:ind w:left="1140"/>
        <w:jc w:val="both"/>
        <w:rPr>
          <w:rFonts w:eastAsiaTheme="minorHAnsi" w:cstheme="minorBidi"/>
          <w:i/>
          <w:color w:val="FFFFFF" w:themeColor="background1"/>
          <w:sz w:val="24"/>
          <w:szCs w:val="24"/>
        </w:rPr>
        <w:sectPr w:rsidR="009127D4" w:rsidRPr="009127D4" w:rsidSect="002A029F">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4A6919" w:rsidRDefault="00E13BEC" w:rsidP="000D0CB6">
      <w:pPr>
        <w:spacing w:before="0"/>
        <w:rPr>
          <w:b/>
          <w:color w:val="4F6228" w:themeColor="accent3" w:themeShade="80"/>
          <w:sz w:val="28"/>
          <w:szCs w:val="28"/>
        </w:rPr>
      </w:pPr>
      <w:proofErr w:type="gramStart"/>
      <w:r w:rsidRPr="00FB5675">
        <w:rPr>
          <w:rFonts w:eastAsiaTheme="minorHAnsi" w:cs="Arial"/>
          <w:b/>
          <w:color w:val="4F6228" w:themeColor="accent3" w:themeShade="80"/>
          <w:sz w:val="28"/>
          <w:szCs w:val="28"/>
        </w:rPr>
        <w:lastRenderedPageBreak/>
        <w:t>Table 1.</w:t>
      </w:r>
      <w:proofErr w:type="gramEnd"/>
      <w:r w:rsidRPr="00FB5675">
        <w:rPr>
          <w:rFonts w:eastAsiaTheme="minorHAnsi" w:cs="Arial"/>
          <w:b/>
          <w:color w:val="4F6228" w:themeColor="accent3" w:themeShade="80"/>
          <w:sz w:val="28"/>
          <w:szCs w:val="28"/>
        </w:rPr>
        <w:t xml:space="preserve"> </w:t>
      </w:r>
      <w:r w:rsidR="00FB5675">
        <w:rPr>
          <w:rFonts w:eastAsiaTheme="minorHAnsi" w:cs="Arial"/>
          <w:b/>
          <w:color w:val="4F6228" w:themeColor="accent3" w:themeShade="80"/>
          <w:sz w:val="28"/>
          <w:szCs w:val="28"/>
        </w:rPr>
        <w:t xml:space="preserve"> </w:t>
      </w:r>
      <w:r w:rsidR="00FB5675" w:rsidRPr="00FB5675">
        <w:rPr>
          <w:b/>
          <w:color w:val="4F6228" w:themeColor="accent3" w:themeShade="80"/>
          <w:sz w:val="28"/>
          <w:szCs w:val="28"/>
        </w:rPr>
        <w:t xml:space="preserve">Planned Programmatic Activities and Achievements, </w:t>
      </w:r>
      <w:r w:rsidR="007F75A4">
        <w:rPr>
          <w:b/>
          <w:color w:val="4F6228" w:themeColor="accent3" w:themeShade="80"/>
          <w:sz w:val="28"/>
          <w:szCs w:val="28"/>
        </w:rPr>
        <w:t>January</w:t>
      </w:r>
      <w:r w:rsidR="0097535F" w:rsidRPr="00FB5675">
        <w:rPr>
          <w:b/>
          <w:color w:val="4F6228" w:themeColor="accent3" w:themeShade="80"/>
          <w:sz w:val="28"/>
          <w:szCs w:val="28"/>
        </w:rPr>
        <w:t xml:space="preserve"> </w:t>
      </w:r>
      <w:r w:rsidR="00FB5675" w:rsidRPr="00FB5675">
        <w:rPr>
          <w:b/>
          <w:color w:val="4F6228" w:themeColor="accent3" w:themeShade="80"/>
          <w:sz w:val="28"/>
          <w:szCs w:val="28"/>
        </w:rPr>
        <w:t xml:space="preserve">– </w:t>
      </w:r>
      <w:r w:rsidR="007F75A4">
        <w:rPr>
          <w:b/>
          <w:color w:val="4F6228" w:themeColor="accent3" w:themeShade="80"/>
          <w:sz w:val="28"/>
          <w:szCs w:val="28"/>
        </w:rPr>
        <w:t>June</w:t>
      </w:r>
      <w:r w:rsidR="0097535F" w:rsidRPr="00FB5675">
        <w:rPr>
          <w:b/>
          <w:color w:val="4F6228" w:themeColor="accent3" w:themeShade="80"/>
          <w:sz w:val="28"/>
          <w:szCs w:val="28"/>
        </w:rPr>
        <w:t xml:space="preserve"> </w:t>
      </w:r>
      <w:r w:rsidR="007F75A4">
        <w:rPr>
          <w:b/>
          <w:color w:val="4F6228" w:themeColor="accent3" w:themeShade="80"/>
          <w:sz w:val="28"/>
          <w:szCs w:val="28"/>
        </w:rPr>
        <w:t>2016</w:t>
      </w:r>
    </w:p>
    <w:tbl>
      <w:tblPr>
        <w:tblStyle w:val="LightShading-Accent3"/>
        <w:tblW w:w="147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80"/>
        <w:gridCol w:w="4410"/>
        <w:gridCol w:w="3060"/>
        <w:gridCol w:w="3785"/>
      </w:tblGrid>
      <w:tr w:rsidR="007F75A4" w:rsidRPr="00C7304C" w:rsidTr="00E87F7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10" w:type="dxa"/>
            <w:gridSpan w:val="2"/>
            <w:tcBorders>
              <w:top w:val="none" w:sz="0" w:space="0" w:color="auto"/>
              <w:left w:val="none" w:sz="0" w:space="0" w:color="auto"/>
              <w:bottom w:val="none" w:sz="0" w:space="0" w:color="auto"/>
              <w:right w:val="none" w:sz="0" w:space="0" w:color="auto"/>
            </w:tcBorders>
          </w:tcPr>
          <w:p w:rsidR="007F75A4" w:rsidRPr="00C7304C" w:rsidRDefault="007F75A4" w:rsidP="00F5101C">
            <w:pPr>
              <w:rPr>
                <w:rFonts w:cs="Arial"/>
                <w:b w:val="0"/>
                <w:color w:val="000000" w:themeColor="text1"/>
                <w:sz w:val="20"/>
                <w:szCs w:val="24"/>
              </w:rPr>
            </w:pPr>
            <w:r w:rsidRPr="00C7304C">
              <w:rPr>
                <w:rFonts w:cs="Arial"/>
                <w:color w:val="000000" w:themeColor="text1"/>
                <w:sz w:val="20"/>
                <w:szCs w:val="24"/>
              </w:rPr>
              <w:t>PACA’s Annual Target</w:t>
            </w:r>
          </w:p>
        </w:tc>
        <w:tc>
          <w:tcPr>
            <w:tcW w:w="4410" w:type="dxa"/>
            <w:tcBorders>
              <w:top w:val="none" w:sz="0" w:space="0" w:color="auto"/>
              <w:left w:val="none" w:sz="0" w:space="0" w:color="auto"/>
              <w:bottom w:val="none" w:sz="0" w:space="0" w:color="auto"/>
              <w:right w:val="none" w:sz="0" w:space="0" w:color="auto"/>
            </w:tcBorders>
          </w:tcPr>
          <w:p w:rsidR="007F75A4" w:rsidRPr="00C7304C" w:rsidRDefault="007F75A4" w:rsidP="00F5101C">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4"/>
              </w:rPr>
            </w:pPr>
            <w:r w:rsidRPr="00C7304C">
              <w:rPr>
                <w:rFonts w:cs="Arial"/>
                <w:color w:val="000000" w:themeColor="text1"/>
                <w:sz w:val="20"/>
                <w:szCs w:val="24"/>
              </w:rPr>
              <w:t>Achievements</w:t>
            </w:r>
          </w:p>
        </w:tc>
        <w:tc>
          <w:tcPr>
            <w:tcW w:w="3060" w:type="dxa"/>
            <w:tcBorders>
              <w:top w:val="none" w:sz="0" w:space="0" w:color="auto"/>
              <w:left w:val="none" w:sz="0" w:space="0" w:color="auto"/>
              <w:bottom w:val="none" w:sz="0" w:space="0" w:color="auto"/>
              <w:right w:val="none" w:sz="0" w:space="0" w:color="auto"/>
            </w:tcBorders>
          </w:tcPr>
          <w:p w:rsidR="007F75A4" w:rsidRPr="00C7304C" w:rsidRDefault="007F75A4" w:rsidP="00F5101C">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4"/>
              </w:rPr>
            </w:pPr>
            <w:r w:rsidRPr="00C7304C">
              <w:rPr>
                <w:rFonts w:cs="Arial"/>
                <w:color w:val="000000" w:themeColor="text1"/>
                <w:sz w:val="20"/>
                <w:szCs w:val="24"/>
              </w:rPr>
              <w:t>Challenges</w:t>
            </w:r>
          </w:p>
        </w:tc>
        <w:tc>
          <w:tcPr>
            <w:tcW w:w="3785" w:type="dxa"/>
            <w:tcBorders>
              <w:top w:val="none" w:sz="0" w:space="0" w:color="auto"/>
              <w:left w:val="none" w:sz="0" w:space="0" w:color="auto"/>
              <w:bottom w:val="none" w:sz="0" w:space="0" w:color="auto"/>
              <w:right w:val="none" w:sz="0" w:space="0" w:color="auto"/>
            </w:tcBorders>
          </w:tcPr>
          <w:p w:rsidR="007F75A4" w:rsidRPr="00C7304C" w:rsidRDefault="007F75A4" w:rsidP="00F5101C">
            <w:pP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4"/>
              </w:rPr>
            </w:pPr>
            <w:r w:rsidRPr="00C7304C">
              <w:rPr>
                <w:rFonts w:cs="Arial"/>
                <w:color w:val="000000" w:themeColor="text1"/>
                <w:sz w:val="20"/>
                <w:szCs w:val="24"/>
              </w:rPr>
              <w:t>Way Forward</w:t>
            </w:r>
          </w:p>
        </w:tc>
      </w:tr>
      <w:tr w:rsidR="007F75A4"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5" w:type="dxa"/>
            <w:gridSpan w:val="5"/>
            <w:tcBorders>
              <w:left w:val="none" w:sz="0" w:space="0" w:color="auto"/>
              <w:right w:val="none" w:sz="0" w:space="0" w:color="auto"/>
            </w:tcBorders>
            <w:shd w:val="clear" w:color="auto" w:fill="76923C" w:themeFill="accent3" w:themeFillShade="BF"/>
          </w:tcPr>
          <w:p w:rsidR="007F75A4" w:rsidRPr="00C7304C" w:rsidRDefault="007F75A4" w:rsidP="00D80A85">
            <w:pPr>
              <w:pStyle w:val="ListParagraph"/>
              <w:numPr>
                <w:ilvl w:val="0"/>
                <w:numId w:val="4"/>
              </w:numPr>
              <w:spacing w:before="0"/>
              <w:rPr>
                <w:color w:val="000000" w:themeColor="text1"/>
                <w:sz w:val="20"/>
                <w:szCs w:val="20"/>
              </w:rPr>
            </w:pPr>
            <w:r w:rsidRPr="00C7304C">
              <w:rPr>
                <w:rFonts w:cs="Calibri"/>
                <w:color w:val="000000"/>
                <w:sz w:val="20"/>
              </w:rPr>
              <w:t>Continental/regional support for aflatoxin control</w:t>
            </w:r>
          </w:p>
        </w:tc>
      </w:tr>
      <w:tr w:rsidR="007F75A4" w:rsidRPr="00C7304C" w:rsidTr="002441D5">
        <w:tc>
          <w:tcPr>
            <w:cnfStyle w:val="001000000000" w:firstRow="0" w:lastRow="0" w:firstColumn="1" w:lastColumn="0" w:oddVBand="0" w:evenVBand="0" w:oddHBand="0" w:evenHBand="0" w:firstRowFirstColumn="0" w:firstRowLastColumn="0" w:lastRowFirstColumn="0" w:lastRowLastColumn="0"/>
            <w:tcW w:w="14765" w:type="dxa"/>
            <w:gridSpan w:val="5"/>
            <w:shd w:val="clear" w:color="auto" w:fill="C2D69B" w:themeFill="accent3" w:themeFillTint="99"/>
          </w:tcPr>
          <w:p w:rsidR="007F75A4" w:rsidRPr="00C7304C" w:rsidRDefault="007F75A4" w:rsidP="007F75A4">
            <w:pPr>
              <w:spacing w:before="0"/>
              <w:rPr>
                <w:color w:val="000000" w:themeColor="text1"/>
                <w:sz w:val="20"/>
                <w:szCs w:val="20"/>
              </w:rPr>
            </w:pPr>
            <w:r w:rsidRPr="00C7304C">
              <w:rPr>
                <w:rFonts w:cs="Calibri"/>
                <w:color w:val="000000"/>
                <w:sz w:val="20"/>
              </w:rPr>
              <w:t>1.1 Support to RECs</w:t>
            </w:r>
          </w:p>
        </w:tc>
      </w:tr>
      <w:tr w:rsidR="007F75A4"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one" w:sz="0" w:space="0" w:color="auto"/>
              <w:right w:val="none" w:sz="0" w:space="0" w:color="auto"/>
            </w:tcBorders>
          </w:tcPr>
          <w:p w:rsidR="007F75A4" w:rsidRPr="00C7304C" w:rsidRDefault="007F75A4" w:rsidP="00F5101C">
            <w:pPr>
              <w:spacing w:before="0"/>
              <w:rPr>
                <w:rFonts w:cs="Calibri"/>
                <w:b w:val="0"/>
                <w:color w:val="000000"/>
                <w:sz w:val="20"/>
              </w:rPr>
            </w:pPr>
            <w:r w:rsidRPr="00C7304C">
              <w:rPr>
                <w:rFonts w:cs="Calibri"/>
                <w:b w:val="0"/>
                <w:color w:val="000000"/>
                <w:sz w:val="20"/>
              </w:rPr>
              <w:t>Develop COMESA Regional Action Plan</w:t>
            </w:r>
          </w:p>
        </w:tc>
        <w:tc>
          <w:tcPr>
            <w:tcW w:w="4410" w:type="dxa"/>
            <w:tcBorders>
              <w:left w:val="none" w:sz="0" w:space="0" w:color="auto"/>
              <w:right w:val="none" w:sz="0" w:space="0" w:color="auto"/>
            </w:tcBorders>
          </w:tcPr>
          <w:p w:rsidR="007F75A4" w:rsidRPr="00C7304C" w:rsidRDefault="007F75A4"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 xml:space="preserve">A consultant </w:t>
            </w:r>
            <w:r w:rsidR="00D02D54" w:rsidRPr="00C7304C">
              <w:rPr>
                <w:color w:val="000000" w:themeColor="text1"/>
                <w:sz w:val="20"/>
                <w:szCs w:val="20"/>
              </w:rPr>
              <w:t>has been hired and a draft regional aflatoxin control action plan will be presented and validated on the margins of the 2</w:t>
            </w:r>
            <w:r w:rsidR="00D02D54" w:rsidRPr="00C7304C">
              <w:rPr>
                <w:color w:val="000000" w:themeColor="text1"/>
                <w:sz w:val="20"/>
                <w:szCs w:val="20"/>
                <w:vertAlign w:val="superscript"/>
              </w:rPr>
              <w:t>nd</w:t>
            </w:r>
            <w:r w:rsidR="00D02D54" w:rsidRPr="00C7304C">
              <w:rPr>
                <w:color w:val="000000" w:themeColor="text1"/>
                <w:sz w:val="20"/>
                <w:szCs w:val="20"/>
              </w:rPr>
              <w:t xml:space="preserve"> PACA PPM</w:t>
            </w:r>
          </w:p>
        </w:tc>
        <w:tc>
          <w:tcPr>
            <w:tcW w:w="3060" w:type="dxa"/>
            <w:tcBorders>
              <w:left w:val="none" w:sz="0" w:space="0" w:color="auto"/>
              <w:right w:val="none" w:sz="0" w:space="0" w:color="auto"/>
            </w:tcBorders>
          </w:tcPr>
          <w:p w:rsidR="007F75A4" w:rsidRPr="00C7304C" w:rsidRDefault="007B6F16" w:rsidP="007B6F16">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It has taken a l</w:t>
            </w:r>
            <w:r w:rsidR="007F75A4" w:rsidRPr="00C7304C">
              <w:rPr>
                <w:color w:val="000000" w:themeColor="text1"/>
                <w:sz w:val="20"/>
                <w:szCs w:val="20"/>
              </w:rPr>
              <w:t>ong time</w:t>
            </w:r>
            <w:r>
              <w:rPr>
                <w:color w:val="000000" w:themeColor="text1"/>
                <w:sz w:val="20"/>
                <w:szCs w:val="20"/>
              </w:rPr>
              <w:t xml:space="preserve"> to select</w:t>
            </w:r>
            <w:r w:rsidR="007F75A4" w:rsidRPr="00C7304C">
              <w:rPr>
                <w:color w:val="000000" w:themeColor="text1"/>
                <w:sz w:val="20"/>
                <w:szCs w:val="20"/>
              </w:rPr>
              <w:t xml:space="preserve"> the final c</w:t>
            </w:r>
            <w:r>
              <w:rPr>
                <w:color w:val="000000" w:themeColor="text1"/>
                <w:sz w:val="20"/>
                <w:szCs w:val="20"/>
              </w:rPr>
              <w:t xml:space="preserve">onsultants through </w:t>
            </w:r>
            <w:r w:rsidR="00D02D54" w:rsidRPr="00C7304C">
              <w:rPr>
                <w:color w:val="000000" w:themeColor="text1"/>
                <w:sz w:val="20"/>
                <w:szCs w:val="20"/>
              </w:rPr>
              <w:t xml:space="preserve"> COMESA </w:t>
            </w:r>
          </w:p>
        </w:tc>
        <w:tc>
          <w:tcPr>
            <w:tcW w:w="3785" w:type="dxa"/>
            <w:tcBorders>
              <w:left w:val="none" w:sz="0" w:space="0" w:color="auto"/>
              <w:right w:val="none" w:sz="0" w:space="0" w:color="auto"/>
            </w:tcBorders>
          </w:tcPr>
          <w:p w:rsidR="007F75A4" w:rsidRPr="00C7304C" w:rsidRDefault="00D02D54" w:rsidP="007B6F16">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Hold a validation workshop for the COMESA Action Plan on the margins of the 2</w:t>
            </w:r>
            <w:r w:rsidR="007B6F16">
              <w:rPr>
                <w:color w:val="000000" w:themeColor="text1"/>
                <w:sz w:val="20"/>
                <w:szCs w:val="20"/>
                <w:vertAlign w:val="superscript"/>
              </w:rPr>
              <w:t xml:space="preserve">nd </w:t>
            </w:r>
            <w:r w:rsidRPr="00C7304C">
              <w:rPr>
                <w:color w:val="000000" w:themeColor="text1"/>
                <w:sz w:val="20"/>
                <w:szCs w:val="20"/>
              </w:rPr>
              <w:t>PACA PPM</w:t>
            </w:r>
          </w:p>
        </w:tc>
      </w:tr>
      <w:tr w:rsidR="00E87F73" w:rsidRPr="00C7304C" w:rsidTr="00E87F73">
        <w:tc>
          <w:tcPr>
            <w:cnfStyle w:val="001000000000" w:firstRow="0" w:lastRow="0" w:firstColumn="1" w:lastColumn="0" w:oddVBand="0" w:evenVBand="0" w:oddHBand="0" w:evenHBand="0" w:firstRowFirstColumn="0" w:firstRowLastColumn="0" w:lastRowFirstColumn="0" w:lastRowLastColumn="0"/>
            <w:tcW w:w="3510" w:type="dxa"/>
            <w:gridSpan w:val="2"/>
          </w:tcPr>
          <w:p w:rsidR="007F75A4" w:rsidRPr="00C7304C" w:rsidRDefault="007F75A4" w:rsidP="00F5101C">
            <w:pPr>
              <w:spacing w:before="0"/>
              <w:rPr>
                <w:rFonts w:cs="Calibri"/>
                <w:color w:val="000000"/>
                <w:sz w:val="20"/>
              </w:rPr>
            </w:pPr>
            <w:r w:rsidRPr="00C7304C">
              <w:rPr>
                <w:rFonts w:cs="Calibri"/>
                <w:color w:val="000000"/>
                <w:sz w:val="20"/>
              </w:rPr>
              <w:t>Engage EAC</w:t>
            </w:r>
          </w:p>
        </w:tc>
        <w:tc>
          <w:tcPr>
            <w:tcW w:w="4410" w:type="dxa"/>
          </w:tcPr>
          <w:p w:rsidR="006A39CC" w:rsidRDefault="007F75A4" w:rsidP="009A39EE">
            <w:pPr>
              <w:pStyle w:val="ListParagraph"/>
              <w:numPr>
                <w:ilvl w:val="0"/>
                <w:numId w:val="8"/>
              </w:numPr>
              <w:spacing w:before="0"/>
              <w:ind w:left="162" w:hanging="108"/>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39CC">
              <w:rPr>
                <w:color w:val="000000" w:themeColor="text1"/>
                <w:sz w:val="20"/>
                <w:szCs w:val="20"/>
              </w:rPr>
              <w:t xml:space="preserve">PACA </w:t>
            </w:r>
            <w:r w:rsidR="009A39EE" w:rsidRPr="006A39CC">
              <w:rPr>
                <w:color w:val="000000" w:themeColor="text1"/>
                <w:sz w:val="20"/>
                <w:szCs w:val="20"/>
              </w:rPr>
              <w:t xml:space="preserve">participated in the validation workshop of the Regional Aflatoxin Prevention and Control Strategy and Action Plan (2017-2021). </w:t>
            </w:r>
          </w:p>
          <w:p w:rsidR="007F75A4" w:rsidRPr="006A39CC" w:rsidRDefault="007F75A4" w:rsidP="009A39EE">
            <w:pPr>
              <w:pStyle w:val="ListParagraph"/>
              <w:numPr>
                <w:ilvl w:val="0"/>
                <w:numId w:val="8"/>
              </w:numPr>
              <w:spacing w:before="0"/>
              <w:ind w:left="162" w:hanging="108"/>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6A39CC">
              <w:rPr>
                <w:color w:val="000000" w:themeColor="text1"/>
                <w:sz w:val="20"/>
                <w:szCs w:val="20"/>
              </w:rPr>
              <w:t xml:space="preserve">EAC </w:t>
            </w:r>
            <w:r w:rsidR="009A39EE" w:rsidRPr="006A39CC">
              <w:rPr>
                <w:color w:val="000000" w:themeColor="text1"/>
                <w:sz w:val="20"/>
                <w:szCs w:val="20"/>
              </w:rPr>
              <w:t xml:space="preserve">participated in the PACA Steering Committee Meeting as a new member in March 2016. </w:t>
            </w:r>
          </w:p>
        </w:tc>
        <w:tc>
          <w:tcPr>
            <w:tcW w:w="3060" w:type="dxa"/>
          </w:tcPr>
          <w:p w:rsidR="007F75A4" w:rsidRPr="00C7304C" w:rsidRDefault="007F75A4" w:rsidP="00F5101C">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785" w:type="dxa"/>
          </w:tcPr>
          <w:p w:rsidR="007F75A4" w:rsidRPr="00C7304C" w:rsidRDefault="007F75A4" w:rsidP="00F5101C">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Continue engaging EAC through the PACA SC meetings and other platforms to ensure aflatoxins are adequately addressed in the region</w:t>
            </w:r>
            <w:r w:rsidR="009A39EE" w:rsidRPr="00C7304C">
              <w:rPr>
                <w:color w:val="000000" w:themeColor="text1"/>
                <w:sz w:val="20"/>
                <w:szCs w:val="20"/>
              </w:rPr>
              <w:t xml:space="preserve"> and mainstreamed into the CAADP aligned Regional Agriculture Investment Plan</w:t>
            </w:r>
          </w:p>
        </w:tc>
      </w:tr>
      <w:tr w:rsidR="007F75A4"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5" w:type="dxa"/>
            <w:gridSpan w:val="5"/>
            <w:tcBorders>
              <w:left w:val="none" w:sz="0" w:space="0" w:color="auto"/>
              <w:right w:val="none" w:sz="0" w:space="0" w:color="auto"/>
            </w:tcBorders>
            <w:shd w:val="clear" w:color="auto" w:fill="C2D69B" w:themeFill="accent3" w:themeFillTint="99"/>
          </w:tcPr>
          <w:p w:rsidR="007F75A4" w:rsidRPr="00C7304C" w:rsidRDefault="007F75A4" w:rsidP="007F75A4">
            <w:pPr>
              <w:spacing w:before="0"/>
              <w:rPr>
                <w:color w:val="000000" w:themeColor="text1"/>
                <w:sz w:val="20"/>
                <w:szCs w:val="20"/>
              </w:rPr>
            </w:pPr>
            <w:r w:rsidRPr="00C7304C">
              <w:rPr>
                <w:rFonts w:cs="Calibri"/>
                <w:color w:val="000000"/>
                <w:sz w:val="20"/>
              </w:rPr>
              <w:t>1.2 Regional Workshops</w:t>
            </w:r>
          </w:p>
        </w:tc>
      </w:tr>
      <w:tr w:rsidR="009A39EE" w:rsidRPr="00C7304C" w:rsidTr="00E87F73">
        <w:tc>
          <w:tcPr>
            <w:cnfStyle w:val="001000000000" w:firstRow="0" w:lastRow="0" w:firstColumn="1" w:lastColumn="0" w:oddVBand="0" w:evenVBand="0" w:oddHBand="0" w:evenHBand="0" w:firstRowFirstColumn="0" w:firstRowLastColumn="0" w:lastRowFirstColumn="0" w:lastRowLastColumn="0"/>
            <w:tcW w:w="3510" w:type="dxa"/>
            <w:gridSpan w:val="2"/>
          </w:tcPr>
          <w:p w:rsidR="009A39EE" w:rsidRPr="00C7304C" w:rsidRDefault="007832F9" w:rsidP="00F5101C">
            <w:pPr>
              <w:spacing w:before="0"/>
              <w:rPr>
                <w:rFonts w:cs="Calibri"/>
                <w:color w:val="000000"/>
                <w:sz w:val="20"/>
                <w:szCs w:val="24"/>
              </w:rPr>
            </w:pPr>
            <w:r w:rsidRPr="00C7304C">
              <w:rPr>
                <w:rFonts w:cs="Calibri"/>
                <w:color w:val="000000"/>
                <w:sz w:val="20"/>
                <w:szCs w:val="24"/>
              </w:rPr>
              <w:t>Workshop on Engaging Health Sector in Aflatoxin Prevention and Control in Africa</w:t>
            </w:r>
          </w:p>
        </w:tc>
        <w:tc>
          <w:tcPr>
            <w:tcW w:w="4410" w:type="dxa"/>
          </w:tcPr>
          <w:p w:rsidR="000A2842" w:rsidRPr="00C7304C" w:rsidRDefault="007832F9" w:rsidP="00D80A85">
            <w:pPr>
              <w:pStyle w:val="ListParagraph"/>
              <w:numPr>
                <w:ilvl w:val="0"/>
                <w:numId w:val="6"/>
              </w:numPr>
              <w:spacing w:before="0"/>
              <w:ind w:left="20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Technical papers and meeting discussions  were docum</w:t>
            </w:r>
            <w:r w:rsidR="000A2842" w:rsidRPr="00C7304C">
              <w:rPr>
                <w:color w:val="000000" w:themeColor="text1"/>
                <w:sz w:val="20"/>
                <w:szCs w:val="20"/>
              </w:rPr>
              <w:t>ented in meeting report</w:t>
            </w:r>
          </w:p>
          <w:p w:rsidR="000A2842" w:rsidRPr="00C7304C" w:rsidRDefault="007832F9" w:rsidP="00D80A85">
            <w:pPr>
              <w:pStyle w:val="ListParagraph"/>
              <w:numPr>
                <w:ilvl w:val="0"/>
                <w:numId w:val="6"/>
              </w:numPr>
              <w:spacing w:before="0"/>
              <w:ind w:left="20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Recommendations on areas of interventions and actions were given for the various thematic areas identified.</w:t>
            </w:r>
          </w:p>
          <w:p w:rsidR="007832F9" w:rsidRPr="00C7304C" w:rsidRDefault="007832F9" w:rsidP="00D80A85">
            <w:pPr>
              <w:pStyle w:val="ListParagraph"/>
              <w:numPr>
                <w:ilvl w:val="0"/>
                <w:numId w:val="6"/>
              </w:numPr>
              <w:spacing w:before="0"/>
              <w:ind w:left="20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A plan of action and roadmap was developed and currently being refined for circulation</w:t>
            </w:r>
          </w:p>
          <w:p w:rsidR="009A39EE" w:rsidRPr="00C7304C" w:rsidRDefault="009A39EE" w:rsidP="007832F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060" w:type="dxa"/>
          </w:tcPr>
          <w:p w:rsidR="009A39EE" w:rsidRPr="00C7304C" w:rsidRDefault="002B2212" w:rsidP="00F5101C">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Limited staff capacity to follow up with reviewing plan of action for health workshop</w:t>
            </w:r>
          </w:p>
        </w:tc>
        <w:tc>
          <w:tcPr>
            <w:tcW w:w="3785" w:type="dxa"/>
          </w:tcPr>
          <w:p w:rsidR="007832F9" w:rsidRPr="00C7304C" w:rsidRDefault="007832F9" w:rsidP="00D80A85">
            <w:pPr>
              <w:pStyle w:val="ListParagraph"/>
              <w:numPr>
                <w:ilvl w:val="0"/>
                <w:numId w:val="5"/>
              </w:numPr>
              <w:spacing w:before="0"/>
              <w:ind w:left="175" w:hanging="95"/>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PACA Secretariat to share report and draft action plan to the identified workshop focal points to finalize plan of action and roadmap document.</w:t>
            </w:r>
          </w:p>
          <w:p w:rsidR="007832F9" w:rsidRPr="00C7304C" w:rsidRDefault="007832F9" w:rsidP="00D80A85">
            <w:pPr>
              <w:pStyle w:val="ListParagraph"/>
              <w:numPr>
                <w:ilvl w:val="0"/>
                <w:numId w:val="5"/>
              </w:numPr>
              <w:spacing w:before="0"/>
              <w:ind w:left="175" w:hanging="95"/>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 xml:space="preserve">Disseminate workshop report and action plan documents to PACA Community. </w:t>
            </w:r>
          </w:p>
          <w:p w:rsidR="009A39EE" w:rsidRPr="00C7304C" w:rsidRDefault="007832F9" w:rsidP="00D80A85">
            <w:pPr>
              <w:pStyle w:val="ListParagraph"/>
              <w:numPr>
                <w:ilvl w:val="0"/>
                <w:numId w:val="5"/>
              </w:numPr>
              <w:spacing w:before="0"/>
              <w:ind w:left="175" w:hanging="95"/>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Engage focal points and relevant stakeholders to drive implementation of activities outlined in plan of action document.</w:t>
            </w:r>
          </w:p>
        </w:tc>
      </w:tr>
      <w:tr w:rsidR="009A39EE"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Borders>
              <w:left w:val="none" w:sz="0" w:space="0" w:color="auto"/>
              <w:right w:val="none" w:sz="0" w:space="0" w:color="auto"/>
            </w:tcBorders>
            <w:shd w:val="clear" w:color="auto" w:fill="76923C" w:themeFill="accent3" w:themeFillShade="BF"/>
          </w:tcPr>
          <w:p w:rsidR="007F75A4" w:rsidRPr="00C7304C" w:rsidRDefault="007F75A4" w:rsidP="00D80A85">
            <w:pPr>
              <w:pStyle w:val="ListParagraph"/>
              <w:numPr>
                <w:ilvl w:val="0"/>
                <w:numId w:val="4"/>
              </w:numPr>
              <w:spacing w:before="0"/>
              <w:rPr>
                <w:rFonts w:cs="Calibri"/>
                <w:color w:val="000000"/>
                <w:sz w:val="20"/>
              </w:rPr>
            </w:pPr>
            <w:r w:rsidRPr="00C7304C">
              <w:rPr>
                <w:rFonts w:cs="Calibri"/>
                <w:color w:val="000000"/>
                <w:sz w:val="20"/>
              </w:rPr>
              <w:t>Pilot country Support</w:t>
            </w:r>
          </w:p>
        </w:tc>
        <w:tc>
          <w:tcPr>
            <w:tcW w:w="4410" w:type="dxa"/>
            <w:tcBorders>
              <w:left w:val="none" w:sz="0" w:space="0" w:color="auto"/>
              <w:right w:val="none" w:sz="0" w:space="0" w:color="auto"/>
            </w:tcBorders>
            <w:shd w:val="clear" w:color="auto" w:fill="76923C" w:themeFill="accent3" w:themeFillShade="BF"/>
          </w:tcPr>
          <w:p w:rsidR="007F75A4" w:rsidRPr="00C7304C" w:rsidRDefault="007F75A4"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060" w:type="dxa"/>
            <w:tcBorders>
              <w:left w:val="none" w:sz="0" w:space="0" w:color="auto"/>
              <w:right w:val="none" w:sz="0" w:space="0" w:color="auto"/>
            </w:tcBorders>
            <w:shd w:val="clear" w:color="auto" w:fill="76923C" w:themeFill="accent3" w:themeFillShade="BF"/>
          </w:tcPr>
          <w:p w:rsidR="007F75A4" w:rsidRPr="00C7304C" w:rsidRDefault="007F75A4"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785" w:type="dxa"/>
            <w:tcBorders>
              <w:left w:val="none" w:sz="0" w:space="0" w:color="auto"/>
              <w:right w:val="none" w:sz="0" w:space="0" w:color="auto"/>
            </w:tcBorders>
            <w:shd w:val="clear" w:color="auto" w:fill="76923C" w:themeFill="accent3" w:themeFillShade="BF"/>
          </w:tcPr>
          <w:p w:rsidR="007F75A4" w:rsidRPr="00C7304C" w:rsidRDefault="007F75A4"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07297" w:rsidRPr="00C7304C" w:rsidTr="002441D5">
        <w:tc>
          <w:tcPr>
            <w:cnfStyle w:val="001000000000" w:firstRow="0" w:lastRow="0" w:firstColumn="1" w:lastColumn="0" w:oddVBand="0" w:evenVBand="0" w:oddHBand="0" w:evenHBand="0" w:firstRowFirstColumn="0" w:firstRowLastColumn="0" w:lastRowFirstColumn="0" w:lastRowLastColumn="0"/>
            <w:tcW w:w="14765" w:type="dxa"/>
            <w:gridSpan w:val="5"/>
            <w:shd w:val="clear" w:color="auto" w:fill="C2D69B" w:themeFill="accent3" w:themeFillTint="99"/>
          </w:tcPr>
          <w:p w:rsidR="00A07297" w:rsidRPr="00C7304C" w:rsidRDefault="00A07297" w:rsidP="00D80A85">
            <w:pPr>
              <w:pStyle w:val="ListParagraph"/>
              <w:numPr>
                <w:ilvl w:val="1"/>
                <w:numId w:val="4"/>
              </w:numPr>
              <w:spacing w:before="0"/>
              <w:rPr>
                <w:color w:val="000000" w:themeColor="text1"/>
                <w:sz w:val="20"/>
                <w:szCs w:val="20"/>
              </w:rPr>
            </w:pPr>
            <w:r w:rsidRPr="00C7304C">
              <w:rPr>
                <w:rFonts w:cs="Calibri"/>
                <w:color w:val="000000"/>
                <w:sz w:val="20"/>
              </w:rPr>
              <w:t xml:space="preserve">Country plan implementation support </w:t>
            </w:r>
          </w:p>
        </w:tc>
      </w:tr>
      <w:tr w:rsidR="002441D5"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tcPr>
          <w:p w:rsidR="007F75A4" w:rsidRPr="00C7304C" w:rsidRDefault="007F75A4" w:rsidP="00F5101C">
            <w:pPr>
              <w:spacing w:before="0"/>
              <w:rPr>
                <w:rFonts w:cs="Calibri"/>
                <w:b w:val="0"/>
                <w:color w:val="000000"/>
                <w:sz w:val="20"/>
              </w:rPr>
            </w:pPr>
            <w:r w:rsidRPr="00C7304C">
              <w:rPr>
                <w:rFonts w:cs="Calibri"/>
                <w:b w:val="0"/>
                <w:color w:val="000000"/>
                <w:sz w:val="20"/>
              </w:rPr>
              <w:t xml:space="preserve">Evidence generation to inform plans and interventions – situational analysis in the three </w:t>
            </w:r>
            <w:r w:rsidRPr="00C7304C">
              <w:rPr>
                <w:rFonts w:cs="Calibri"/>
                <w:b w:val="0"/>
                <w:color w:val="000000"/>
                <w:sz w:val="20"/>
              </w:rPr>
              <w:lastRenderedPageBreak/>
              <w:t>countries</w:t>
            </w:r>
          </w:p>
        </w:tc>
        <w:tc>
          <w:tcPr>
            <w:tcW w:w="4590" w:type="dxa"/>
            <w:gridSpan w:val="2"/>
            <w:tcBorders>
              <w:left w:val="none" w:sz="0" w:space="0" w:color="auto"/>
              <w:right w:val="none" w:sz="0" w:space="0" w:color="auto"/>
            </w:tcBorders>
          </w:tcPr>
          <w:p w:rsidR="005B0B55" w:rsidRPr="00C7304C" w:rsidRDefault="007F75A4" w:rsidP="00D80A85">
            <w:pPr>
              <w:pStyle w:val="ListParagraph"/>
              <w:numPr>
                <w:ilvl w:val="0"/>
                <w:numId w:val="5"/>
              </w:numPr>
              <w:spacing w:before="0"/>
              <w:ind w:left="203" w:hanging="157"/>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lastRenderedPageBreak/>
              <w:t>Tanzani</w:t>
            </w:r>
            <w:r w:rsidR="007B6F16">
              <w:rPr>
                <w:color w:val="000000" w:themeColor="text1"/>
                <w:sz w:val="20"/>
                <w:szCs w:val="20"/>
              </w:rPr>
              <w:t>a and Uganda CSAAPs and Malawi economic i</w:t>
            </w:r>
            <w:r w:rsidRPr="00C7304C">
              <w:rPr>
                <w:color w:val="000000" w:themeColor="text1"/>
                <w:sz w:val="20"/>
                <w:szCs w:val="20"/>
              </w:rPr>
              <w:t xml:space="preserve">mpact </w:t>
            </w:r>
            <w:r w:rsidR="007B6F16">
              <w:rPr>
                <w:color w:val="000000" w:themeColor="text1"/>
                <w:sz w:val="20"/>
                <w:szCs w:val="20"/>
              </w:rPr>
              <w:t>a</w:t>
            </w:r>
            <w:r w:rsidRPr="00C7304C">
              <w:rPr>
                <w:color w:val="000000" w:themeColor="text1"/>
                <w:sz w:val="20"/>
                <w:szCs w:val="20"/>
              </w:rPr>
              <w:t>ssessment</w:t>
            </w:r>
            <w:r w:rsidR="007B6F16">
              <w:rPr>
                <w:color w:val="000000" w:themeColor="text1"/>
                <w:sz w:val="20"/>
                <w:szCs w:val="20"/>
              </w:rPr>
              <w:t xml:space="preserve"> has been</w:t>
            </w:r>
            <w:r w:rsidRPr="00C7304C">
              <w:rPr>
                <w:color w:val="000000" w:themeColor="text1"/>
                <w:sz w:val="20"/>
                <w:szCs w:val="20"/>
              </w:rPr>
              <w:t xml:space="preserve"> externally reviewed by Abt. Associates for </w:t>
            </w:r>
            <w:r w:rsidRPr="00C7304C">
              <w:rPr>
                <w:color w:val="000000" w:themeColor="text1"/>
                <w:sz w:val="20"/>
                <w:szCs w:val="20"/>
              </w:rPr>
              <w:lastRenderedPageBreak/>
              <w:t>technical accuracy and consistency</w:t>
            </w:r>
          </w:p>
          <w:p w:rsidR="005B0B55" w:rsidRPr="00C7304C" w:rsidRDefault="002B2212" w:rsidP="00D80A85">
            <w:pPr>
              <w:pStyle w:val="ListParagraph"/>
              <w:numPr>
                <w:ilvl w:val="0"/>
                <w:numId w:val="5"/>
              </w:numPr>
              <w:spacing w:before="0"/>
              <w:ind w:left="203" w:hanging="157"/>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Tanzania C-SAAP</w:t>
            </w:r>
            <w:r w:rsidR="007B6F16">
              <w:rPr>
                <w:color w:val="000000" w:themeColor="text1"/>
                <w:sz w:val="20"/>
                <w:szCs w:val="20"/>
              </w:rPr>
              <w:t xml:space="preserve"> has been</w:t>
            </w:r>
            <w:r w:rsidRPr="00C7304C">
              <w:rPr>
                <w:color w:val="000000" w:themeColor="text1"/>
                <w:sz w:val="20"/>
                <w:szCs w:val="20"/>
              </w:rPr>
              <w:t xml:space="preserve"> finalized and</w:t>
            </w:r>
            <w:r w:rsidR="007B6F16">
              <w:rPr>
                <w:color w:val="000000" w:themeColor="text1"/>
                <w:sz w:val="20"/>
                <w:szCs w:val="20"/>
              </w:rPr>
              <w:t xml:space="preserve"> is</w:t>
            </w:r>
            <w:r w:rsidRPr="00C7304C">
              <w:rPr>
                <w:color w:val="000000" w:themeColor="text1"/>
                <w:sz w:val="20"/>
                <w:szCs w:val="20"/>
              </w:rPr>
              <w:t xml:space="preserve"> ready for final design and dissemination </w:t>
            </w:r>
          </w:p>
          <w:p w:rsidR="002B2212" w:rsidRPr="00C7304C" w:rsidRDefault="002B2212" w:rsidP="00D80A85">
            <w:pPr>
              <w:pStyle w:val="ListParagraph"/>
              <w:numPr>
                <w:ilvl w:val="0"/>
                <w:numId w:val="5"/>
              </w:numPr>
              <w:spacing w:before="0"/>
              <w:ind w:left="203" w:hanging="157"/>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 xml:space="preserve">Malawi consultants </w:t>
            </w:r>
            <w:r w:rsidR="007B6F16">
              <w:rPr>
                <w:color w:val="000000" w:themeColor="text1"/>
                <w:sz w:val="20"/>
                <w:szCs w:val="20"/>
              </w:rPr>
              <w:t xml:space="preserve">have been </w:t>
            </w:r>
            <w:r w:rsidRPr="00C7304C">
              <w:rPr>
                <w:color w:val="000000" w:themeColor="text1"/>
                <w:sz w:val="20"/>
                <w:szCs w:val="20"/>
              </w:rPr>
              <w:t xml:space="preserve">identified to finalize economic impact assessment </w:t>
            </w:r>
          </w:p>
        </w:tc>
        <w:tc>
          <w:tcPr>
            <w:tcW w:w="3060" w:type="dxa"/>
            <w:tcBorders>
              <w:left w:val="none" w:sz="0" w:space="0" w:color="auto"/>
              <w:right w:val="none" w:sz="0" w:space="0" w:color="auto"/>
            </w:tcBorders>
          </w:tcPr>
          <w:p w:rsidR="007F75A4" w:rsidRPr="00C7304C" w:rsidRDefault="002B2212" w:rsidP="007B6F16">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lastRenderedPageBreak/>
              <w:t xml:space="preserve">Harmonizing methodologies of economic impact assessment in all the countries </w:t>
            </w:r>
            <w:r w:rsidR="007B6F16">
              <w:rPr>
                <w:color w:val="000000" w:themeColor="text1"/>
                <w:sz w:val="20"/>
                <w:szCs w:val="20"/>
              </w:rPr>
              <w:t xml:space="preserve">was a </w:t>
            </w:r>
            <w:r w:rsidR="007B6F16">
              <w:rPr>
                <w:color w:val="000000" w:themeColor="text1"/>
                <w:sz w:val="20"/>
                <w:szCs w:val="20"/>
              </w:rPr>
              <w:lastRenderedPageBreak/>
              <w:t>challenge especially in Uganda where the methodology used was in question and the C-SAAP document was advanced when requested to make changes</w:t>
            </w:r>
          </w:p>
        </w:tc>
        <w:tc>
          <w:tcPr>
            <w:tcW w:w="3785" w:type="dxa"/>
            <w:tcBorders>
              <w:left w:val="none" w:sz="0" w:space="0" w:color="auto"/>
              <w:right w:val="none" w:sz="0" w:space="0" w:color="auto"/>
            </w:tcBorders>
          </w:tcPr>
          <w:p w:rsidR="005B0B55" w:rsidRPr="00C7304C" w:rsidRDefault="002B2212" w:rsidP="00D80A85">
            <w:pPr>
              <w:pStyle w:val="ListParagraph"/>
              <w:numPr>
                <w:ilvl w:val="0"/>
                <w:numId w:val="5"/>
              </w:numPr>
              <w:spacing w:before="0"/>
              <w:ind w:left="85" w:hanging="95"/>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lastRenderedPageBreak/>
              <w:t>Follow up with Uganda to incorporate comments from external review and disseminate report after completion</w:t>
            </w:r>
            <w:r w:rsidR="00C25F5C">
              <w:rPr>
                <w:color w:val="000000" w:themeColor="text1"/>
                <w:sz w:val="20"/>
                <w:szCs w:val="20"/>
              </w:rPr>
              <w:t xml:space="preserve"> in </w:t>
            </w:r>
            <w:r w:rsidR="00C25F5C">
              <w:rPr>
                <w:color w:val="000000" w:themeColor="text1"/>
                <w:sz w:val="20"/>
                <w:szCs w:val="20"/>
              </w:rPr>
              <w:lastRenderedPageBreak/>
              <w:t>3</w:t>
            </w:r>
            <w:r w:rsidR="00C25F5C" w:rsidRPr="00C25F5C">
              <w:rPr>
                <w:color w:val="000000" w:themeColor="text1"/>
                <w:sz w:val="20"/>
                <w:szCs w:val="20"/>
                <w:vertAlign w:val="superscript"/>
              </w:rPr>
              <w:t>rd</w:t>
            </w:r>
            <w:r w:rsidR="00C25F5C">
              <w:rPr>
                <w:color w:val="000000" w:themeColor="text1"/>
                <w:sz w:val="20"/>
                <w:szCs w:val="20"/>
              </w:rPr>
              <w:t xml:space="preserve"> quarter</w:t>
            </w:r>
          </w:p>
          <w:p w:rsidR="007F75A4" w:rsidRPr="00C7304C" w:rsidRDefault="002B2212" w:rsidP="00D80A85">
            <w:pPr>
              <w:pStyle w:val="ListParagraph"/>
              <w:numPr>
                <w:ilvl w:val="0"/>
                <w:numId w:val="5"/>
              </w:numPr>
              <w:spacing w:before="0"/>
              <w:ind w:left="85" w:hanging="95"/>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Validate Malawi economic impact assessment in 4</w:t>
            </w:r>
            <w:r w:rsidRPr="00C7304C">
              <w:rPr>
                <w:color w:val="000000" w:themeColor="text1"/>
                <w:sz w:val="20"/>
                <w:szCs w:val="20"/>
                <w:vertAlign w:val="superscript"/>
              </w:rPr>
              <w:t>th</w:t>
            </w:r>
            <w:r w:rsidRPr="00C7304C">
              <w:rPr>
                <w:color w:val="000000" w:themeColor="text1"/>
                <w:sz w:val="20"/>
                <w:szCs w:val="20"/>
              </w:rPr>
              <w:t xml:space="preserve"> Quarter</w:t>
            </w:r>
          </w:p>
        </w:tc>
      </w:tr>
      <w:tr w:rsidR="009A39EE" w:rsidRPr="00C7304C" w:rsidTr="00E87F73">
        <w:tc>
          <w:tcPr>
            <w:cnfStyle w:val="001000000000" w:firstRow="0" w:lastRow="0" w:firstColumn="1" w:lastColumn="0" w:oddVBand="0" w:evenVBand="0" w:oddHBand="0" w:evenHBand="0" w:firstRowFirstColumn="0" w:firstRowLastColumn="0" w:lastRowFirstColumn="0" w:lastRowLastColumn="0"/>
            <w:tcW w:w="3330" w:type="dxa"/>
          </w:tcPr>
          <w:p w:rsidR="007F75A4" w:rsidRPr="00C7304C" w:rsidRDefault="007F75A4" w:rsidP="00F5101C">
            <w:pPr>
              <w:spacing w:before="0"/>
              <w:rPr>
                <w:rFonts w:cs="Calibri"/>
                <w:b w:val="0"/>
                <w:color w:val="000000"/>
                <w:sz w:val="20"/>
              </w:rPr>
            </w:pPr>
            <w:r w:rsidRPr="00C7304C">
              <w:rPr>
                <w:rFonts w:cs="Calibri"/>
                <w:b w:val="0"/>
                <w:color w:val="000000"/>
                <w:sz w:val="20"/>
              </w:rPr>
              <w:lastRenderedPageBreak/>
              <w:t>NAFSIPs reviewed incorporating aflatoxin control in two countries</w:t>
            </w:r>
          </w:p>
        </w:tc>
        <w:tc>
          <w:tcPr>
            <w:tcW w:w="4590" w:type="dxa"/>
            <w:gridSpan w:val="2"/>
          </w:tcPr>
          <w:p w:rsidR="002B2212" w:rsidRPr="00C7304C" w:rsidRDefault="007F75A4" w:rsidP="00D80A85">
            <w:pPr>
              <w:pStyle w:val="ListParagraph"/>
              <w:numPr>
                <w:ilvl w:val="0"/>
                <w:numId w:val="5"/>
              </w:numPr>
              <w:spacing w:before="0"/>
              <w:ind w:left="11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 xml:space="preserve">Tanzania </w:t>
            </w:r>
            <w:r w:rsidR="002B2212" w:rsidRPr="00C7304C">
              <w:rPr>
                <w:color w:val="000000" w:themeColor="text1"/>
                <w:sz w:val="20"/>
                <w:szCs w:val="20"/>
              </w:rPr>
              <w:t xml:space="preserve">mainstreamed </w:t>
            </w:r>
            <w:r w:rsidRPr="00C7304C">
              <w:rPr>
                <w:color w:val="000000" w:themeColor="text1"/>
                <w:sz w:val="20"/>
                <w:szCs w:val="20"/>
              </w:rPr>
              <w:t>aflatoxins in the Tanzania Agriculture</w:t>
            </w:r>
            <w:r w:rsidR="002B2212" w:rsidRPr="00C7304C">
              <w:rPr>
                <w:color w:val="000000" w:themeColor="text1"/>
                <w:sz w:val="20"/>
                <w:szCs w:val="20"/>
              </w:rPr>
              <w:t xml:space="preserve"> Sector Development Plan (ASDP II</w:t>
            </w:r>
            <w:r w:rsidRPr="00C7304C">
              <w:rPr>
                <w:color w:val="000000" w:themeColor="text1"/>
                <w:sz w:val="20"/>
                <w:szCs w:val="20"/>
              </w:rPr>
              <w:t xml:space="preserve">) </w:t>
            </w:r>
          </w:p>
          <w:p w:rsidR="002B2212" w:rsidRPr="00941E0B" w:rsidRDefault="00F178E4" w:rsidP="00723938">
            <w:pPr>
              <w:pStyle w:val="ListParagraph"/>
              <w:numPr>
                <w:ilvl w:val="0"/>
                <w:numId w:val="5"/>
              </w:numPr>
              <w:spacing w:before="0"/>
              <w:ind w:left="11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Some of </w:t>
            </w:r>
            <w:r w:rsidR="002B2212" w:rsidRPr="00C7304C">
              <w:rPr>
                <w:color w:val="000000" w:themeColor="text1"/>
                <w:sz w:val="20"/>
                <w:szCs w:val="20"/>
              </w:rPr>
              <w:t xml:space="preserve">Malawi </w:t>
            </w:r>
            <w:r>
              <w:rPr>
                <w:color w:val="000000" w:themeColor="text1"/>
                <w:sz w:val="20"/>
                <w:szCs w:val="20"/>
              </w:rPr>
              <w:t>MAPAC’s priority activities</w:t>
            </w:r>
            <w:r w:rsidR="002B2212" w:rsidRPr="00C7304C">
              <w:rPr>
                <w:color w:val="000000" w:themeColor="text1"/>
                <w:sz w:val="20"/>
                <w:szCs w:val="20"/>
              </w:rPr>
              <w:t xml:space="preserve"> have been</w:t>
            </w:r>
            <w:r>
              <w:rPr>
                <w:color w:val="000000" w:themeColor="text1"/>
                <w:sz w:val="20"/>
                <w:szCs w:val="20"/>
              </w:rPr>
              <w:t xml:space="preserve"> mainstreamed into the </w:t>
            </w:r>
            <w:proofErr w:type="spellStart"/>
            <w:r>
              <w:rPr>
                <w:color w:val="000000" w:themeColor="text1"/>
                <w:sz w:val="20"/>
                <w:szCs w:val="20"/>
              </w:rPr>
              <w:t>ASWAp</w:t>
            </w:r>
            <w:proofErr w:type="spellEnd"/>
            <w:r>
              <w:rPr>
                <w:color w:val="000000" w:themeColor="text1"/>
                <w:sz w:val="20"/>
                <w:szCs w:val="20"/>
              </w:rPr>
              <w:t xml:space="preserve"> SP, in the process Malawi Government through World Bank Support has </w:t>
            </w:r>
            <w:r w:rsidR="00941E0B">
              <w:rPr>
                <w:color w:val="000000" w:themeColor="text1"/>
                <w:sz w:val="20"/>
                <w:szCs w:val="20"/>
              </w:rPr>
              <w:t xml:space="preserve">secured </w:t>
            </w:r>
            <w:r w:rsidR="002B2212" w:rsidRPr="00C7304C">
              <w:rPr>
                <w:color w:val="000000" w:themeColor="text1"/>
                <w:sz w:val="20"/>
                <w:szCs w:val="20"/>
              </w:rPr>
              <w:t xml:space="preserve">over $70,000 for implementing priority activities </w:t>
            </w:r>
          </w:p>
        </w:tc>
        <w:tc>
          <w:tcPr>
            <w:tcW w:w="3060" w:type="dxa"/>
          </w:tcPr>
          <w:p w:rsidR="005B0B55" w:rsidRPr="00C7304C" w:rsidRDefault="005B0B55" w:rsidP="00723938">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785" w:type="dxa"/>
          </w:tcPr>
          <w:p w:rsidR="007F75A4" w:rsidRDefault="00941E0B" w:rsidP="00F5101C">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Finalize mainstreaming of Uganda aflatoxin control action plan into the Agriculture Sector Strategic Plan (ASSP) before the business meeting</w:t>
            </w:r>
          </w:p>
          <w:p w:rsidR="00941E0B" w:rsidRDefault="00941E0B" w:rsidP="00F5101C">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941E0B" w:rsidRPr="00C7304C" w:rsidRDefault="00941E0B" w:rsidP="00F5101C">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Finalize the review of the MAPAC and re-prioritization of activities based on outcome of economic impact assessment – mainstream the revised MAPAC into </w:t>
            </w:r>
            <w:proofErr w:type="spellStart"/>
            <w:r>
              <w:rPr>
                <w:color w:val="000000" w:themeColor="text1"/>
                <w:sz w:val="20"/>
                <w:szCs w:val="20"/>
              </w:rPr>
              <w:t>ASWAp</w:t>
            </w:r>
            <w:proofErr w:type="spellEnd"/>
            <w:r>
              <w:rPr>
                <w:color w:val="000000" w:themeColor="text1"/>
                <w:sz w:val="20"/>
                <w:szCs w:val="20"/>
              </w:rPr>
              <w:t xml:space="preserve"> in 4</w:t>
            </w:r>
            <w:r w:rsidRPr="00941E0B">
              <w:rPr>
                <w:color w:val="000000" w:themeColor="text1"/>
                <w:sz w:val="20"/>
                <w:szCs w:val="20"/>
                <w:vertAlign w:val="superscript"/>
              </w:rPr>
              <w:t>th</w:t>
            </w:r>
            <w:r>
              <w:rPr>
                <w:color w:val="000000" w:themeColor="text1"/>
                <w:sz w:val="20"/>
                <w:szCs w:val="20"/>
              </w:rPr>
              <w:t xml:space="preserve"> Quarter</w:t>
            </w:r>
          </w:p>
        </w:tc>
      </w:tr>
      <w:tr w:rsidR="002441D5"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tcPr>
          <w:p w:rsidR="007F75A4" w:rsidRPr="00C7304C" w:rsidRDefault="007F75A4" w:rsidP="00F5101C">
            <w:pPr>
              <w:spacing w:before="0"/>
              <w:rPr>
                <w:rFonts w:cs="Calibri"/>
                <w:b w:val="0"/>
                <w:color w:val="000000"/>
                <w:sz w:val="20"/>
              </w:rPr>
            </w:pPr>
            <w:r w:rsidRPr="00C7304C">
              <w:rPr>
                <w:rFonts w:cs="Calibri"/>
                <w:b w:val="0"/>
                <w:color w:val="000000"/>
                <w:sz w:val="20"/>
              </w:rPr>
              <w:t>Steering Committees established and functional for cross-sectoral coordination to oversee NACAP implementation</w:t>
            </w:r>
          </w:p>
        </w:tc>
        <w:tc>
          <w:tcPr>
            <w:tcW w:w="4590" w:type="dxa"/>
            <w:gridSpan w:val="2"/>
            <w:tcBorders>
              <w:left w:val="none" w:sz="0" w:space="0" w:color="auto"/>
              <w:right w:val="none" w:sz="0" w:space="0" w:color="auto"/>
            </w:tcBorders>
          </w:tcPr>
          <w:p w:rsidR="007F75A4" w:rsidRPr="00C7304C" w:rsidRDefault="001A4203" w:rsidP="00F5101C">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t xml:space="preserve">ATWGs and National Steering Committees </w:t>
            </w:r>
            <w:r w:rsidR="007F75A4" w:rsidRPr="00C7304C">
              <w:rPr>
                <w:rFonts w:eastAsiaTheme="minorEastAsia"/>
                <w:color w:val="000000" w:themeColor="text1"/>
                <w:sz w:val="20"/>
                <w:szCs w:val="20"/>
              </w:rPr>
              <w:t xml:space="preserve">have been established and functional in all PACA Pilot countries. </w:t>
            </w:r>
          </w:p>
          <w:p w:rsidR="007F75A4" w:rsidRPr="00C7304C" w:rsidRDefault="007F75A4" w:rsidP="00F5101C">
            <w:pPr>
              <w:spacing w:before="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p>
        </w:tc>
        <w:tc>
          <w:tcPr>
            <w:tcW w:w="3060" w:type="dxa"/>
            <w:tcBorders>
              <w:left w:val="none" w:sz="0" w:space="0" w:color="auto"/>
              <w:right w:val="none" w:sz="0" w:space="0" w:color="auto"/>
            </w:tcBorders>
          </w:tcPr>
          <w:p w:rsidR="007F75A4" w:rsidRPr="00C7304C" w:rsidRDefault="007F75A4"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785" w:type="dxa"/>
            <w:tcBorders>
              <w:left w:val="none" w:sz="0" w:space="0" w:color="auto"/>
              <w:right w:val="none" w:sz="0" w:space="0" w:color="auto"/>
            </w:tcBorders>
          </w:tcPr>
          <w:p w:rsidR="007F75A4" w:rsidRPr="00C7304C" w:rsidRDefault="007F75A4" w:rsidP="00723938">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Continue engaging the Steering Committees and A</w:t>
            </w:r>
            <w:r w:rsidR="00723938" w:rsidRPr="00C7304C">
              <w:rPr>
                <w:color w:val="000000" w:themeColor="text1"/>
                <w:sz w:val="20"/>
                <w:szCs w:val="20"/>
              </w:rPr>
              <w:t>flatoxin Technical Working Groups (ATW</w:t>
            </w:r>
            <w:r w:rsidRPr="00C7304C">
              <w:rPr>
                <w:color w:val="000000" w:themeColor="text1"/>
                <w:sz w:val="20"/>
                <w:szCs w:val="20"/>
              </w:rPr>
              <w:t>G</w:t>
            </w:r>
            <w:r w:rsidR="00723938" w:rsidRPr="00C7304C">
              <w:rPr>
                <w:color w:val="000000" w:themeColor="text1"/>
                <w:sz w:val="20"/>
                <w:szCs w:val="20"/>
              </w:rPr>
              <w:t>s)</w:t>
            </w:r>
            <w:r w:rsidRPr="00C7304C">
              <w:rPr>
                <w:color w:val="000000" w:themeColor="text1"/>
                <w:sz w:val="20"/>
                <w:szCs w:val="20"/>
              </w:rPr>
              <w:t xml:space="preserve"> to ensure that they are functioning effectively</w:t>
            </w:r>
          </w:p>
        </w:tc>
      </w:tr>
      <w:tr w:rsidR="009A39EE" w:rsidRPr="00C7304C" w:rsidTr="00E87F73">
        <w:tc>
          <w:tcPr>
            <w:cnfStyle w:val="001000000000" w:firstRow="0" w:lastRow="0" w:firstColumn="1" w:lastColumn="0" w:oddVBand="0" w:evenVBand="0" w:oddHBand="0" w:evenHBand="0" w:firstRowFirstColumn="0" w:firstRowLastColumn="0" w:lastRowFirstColumn="0" w:lastRowLastColumn="0"/>
            <w:tcW w:w="3330" w:type="dxa"/>
          </w:tcPr>
          <w:p w:rsidR="007F75A4" w:rsidRPr="00C7304C" w:rsidRDefault="007F75A4" w:rsidP="001A4203">
            <w:pPr>
              <w:spacing w:before="0"/>
              <w:rPr>
                <w:rFonts w:cs="Calibri"/>
                <w:b w:val="0"/>
                <w:color w:val="000000"/>
                <w:sz w:val="20"/>
              </w:rPr>
            </w:pPr>
            <w:r w:rsidRPr="00C7304C">
              <w:rPr>
                <w:rFonts w:cs="Calibri"/>
                <w:b w:val="0"/>
                <w:color w:val="000000"/>
                <w:sz w:val="20"/>
              </w:rPr>
              <w:t xml:space="preserve">Business meetings and approval of funding strategy for NACAP implementation in </w:t>
            </w:r>
            <w:r w:rsidR="001A4203">
              <w:rPr>
                <w:rFonts w:cs="Calibri"/>
                <w:b w:val="0"/>
                <w:color w:val="000000"/>
                <w:sz w:val="20"/>
              </w:rPr>
              <w:t>c</w:t>
            </w:r>
            <w:r w:rsidRPr="00C7304C">
              <w:rPr>
                <w:rFonts w:cs="Calibri"/>
                <w:b w:val="0"/>
                <w:color w:val="000000"/>
                <w:sz w:val="20"/>
              </w:rPr>
              <w:t>ountries</w:t>
            </w:r>
          </w:p>
        </w:tc>
        <w:tc>
          <w:tcPr>
            <w:tcW w:w="4590" w:type="dxa"/>
            <w:gridSpan w:val="2"/>
          </w:tcPr>
          <w:p w:rsidR="00723938" w:rsidRPr="00C7304C" w:rsidRDefault="00723938" w:rsidP="00D80A85">
            <w:pPr>
              <w:pStyle w:val="ListParagraph"/>
              <w:numPr>
                <w:ilvl w:val="0"/>
                <w:numId w:val="7"/>
              </w:numPr>
              <w:spacing w:before="0"/>
              <w:ind w:left="203" w:hanging="157"/>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Tanzania held a </w:t>
            </w:r>
            <w:r w:rsidR="001A4203">
              <w:rPr>
                <w:rFonts w:eastAsiaTheme="minorEastAsia"/>
                <w:color w:val="000000" w:themeColor="text1"/>
                <w:sz w:val="20"/>
                <w:szCs w:val="20"/>
              </w:rPr>
              <w:t xml:space="preserve">successful </w:t>
            </w:r>
            <w:r w:rsidRPr="00C7304C">
              <w:rPr>
                <w:rFonts w:eastAsiaTheme="minorEastAsia"/>
                <w:color w:val="000000" w:themeColor="text1"/>
                <w:sz w:val="20"/>
                <w:szCs w:val="20"/>
              </w:rPr>
              <w:t xml:space="preserve">business meeting to validate a strategy for mobilizing resources for </w:t>
            </w:r>
            <w:r w:rsidR="001A4203">
              <w:rPr>
                <w:rFonts w:eastAsiaTheme="minorEastAsia"/>
                <w:color w:val="000000" w:themeColor="text1"/>
                <w:sz w:val="20"/>
                <w:szCs w:val="20"/>
              </w:rPr>
              <w:t>the implementation of the aflatoxin control action plan</w:t>
            </w:r>
          </w:p>
          <w:p w:rsidR="00723938" w:rsidRPr="00C7304C" w:rsidRDefault="00723938" w:rsidP="00D80A85">
            <w:pPr>
              <w:pStyle w:val="ListParagraph"/>
              <w:numPr>
                <w:ilvl w:val="0"/>
                <w:numId w:val="7"/>
              </w:numPr>
              <w:spacing w:before="0"/>
              <w:ind w:left="203" w:hanging="157"/>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Tanzania pledged support to submit the aflatoxin control action plan through the national budgeting process for funding</w:t>
            </w:r>
          </w:p>
          <w:p w:rsidR="001A4203" w:rsidRPr="001A4203" w:rsidRDefault="001A4203" w:rsidP="00D80A85">
            <w:pPr>
              <w:pStyle w:val="ListParagraph"/>
              <w:numPr>
                <w:ilvl w:val="0"/>
                <w:numId w:val="7"/>
              </w:numPr>
              <w:spacing w:before="0"/>
              <w:ind w:left="203" w:hanging="157"/>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t>Templates of resource mobilization strategy have been developed</w:t>
            </w:r>
          </w:p>
          <w:p w:rsidR="00723938" w:rsidRPr="00C7304C" w:rsidRDefault="001A4203" w:rsidP="00D80A85">
            <w:pPr>
              <w:pStyle w:val="ListParagraph"/>
              <w:numPr>
                <w:ilvl w:val="0"/>
                <w:numId w:val="7"/>
              </w:numPr>
              <w:spacing w:before="0"/>
              <w:ind w:left="203" w:hanging="157"/>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Pr>
                <w:color w:val="000000" w:themeColor="text1"/>
                <w:sz w:val="20"/>
                <w:szCs w:val="20"/>
              </w:rPr>
              <w:t>PACA has contracted n</w:t>
            </w:r>
            <w:r w:rsidR="00723938" w:rsidRPr="00C7304C">
              <w:rPr>
                <w:color w:val="000000" w:themeColor="text1"/>
                <w:sz w:val="20"/>
                <w:szCs w:val="20"/>
              </w:rPr>
              <w:t xml:space="preserve">ational consultants to carry out </w:t>
            </w:r>
            <w:r>
              <w:rPr>
                <w:color w:val="000000" w:themeColor="text1"/>
                <w:sz w:val="20"/>
                <w:szCs w:val="20"/>
              </w:rPr>
              <w:t xml:space="preserve">the Uganda </w:t>
            </w:r>
            <w:r w:rsidR="00723938" w:rsidRPr="00C7304C">
              <w:rPr>
                <w:color w:val="000000" w:themeColor="text1"/>
                <w:sz w:val="20"/>
                <w:szCs w:val="20"/>
              </w:rPr>
              <w:t>business meeting  planned in the 3</w:t>
            </w:r>
            <w:r w:rsidR="00723938" w:rsidRPr="00C7304C">
              <w:rPr>
                <w:color w:val="000000" w:themeColor="text1"/>
                <w:sz w:val="20"/>
                <w:szCs w:val="20"/>
                <w:vertAlign w:val="superscript"/>
              </w:rPr>
              <w:t>rd</w:t>
            </w:r>
            <w:r w:rsidR="00723938" w:rsidRPr="00C7304C">
              <w:rPr>
                <w:color w:val="000000" w:themeColor="text1"/>
                <w:sz w:val="20"/>
                <w:szCs w:val="20"/>
              </w:rPr>
              <w:t xml:space="preserve"> Quarter</w:t>
            </w:r>
          </w:p>
        </w:tc>
        <w:tc>
          <w:tcPr>
            <w:tcW w:w="3060" w:type="dxa"/>
          </w:tcPr>
          <w:p w:rsidR="00723938" w:rsidRPr="00C7304C" w:rsidRDefault="00723938" w:rsidP="00D80A85">
            <w:pPr>
              <w:pStyle w:val="ListParagraph"/>
              <w:numPr>
                <w:ilvl w:val="0"/>
                <w:numId w:val="7"/>
              </w:numPr>
              <w:spacing w:before="0"/>
              <w:ind w:left="20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 xml:space="preserve">Development Partners participation at the Tanzania business meeting was low, whereas bilateral engagements with </w:t>
            </w:r>
            <w:r w:rsidR="006236A5">
              <w:rPr>
                <w:color w:val="000000" w:themeColor="text1"/>
                <w:sz w:val="20"/>
                <w:szCs w:val="20"/>
              </w:rPr>
              <w:t>Development Partners (DPs)</w:t>
            </w:r>
            <w:r w:rsidRPr="00C7304C">
              <w:rPr>
                <w:color w:val="000000" w:themeColor="text1"/>
                <w:sz w:val="20"/>
                <w:szCs w:val="20"/>
              </w:rPr>
              <w:t xml:space="preserve"> prior to Tanzania business meeting was high</w:t>
            </w:r>
          </w:p>
          <w:p w:rsidR="007F75A4" w:rsidRPr="00C7304C" w:rsidRDefault="00723938" w:rsidP="005972F4">
            <w:pPr>
              <w:pStyle w:val="ListParagraph"/>
              <w:numPr>
                <w:ilvl w:val="0"/>
                <w:numId w:val="7"/>
              </w:numPr>
              <w:spacing w:before="0"/>
              <w:ind w:left="203" w:hanging="157"/>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t>Not having a Country Officer</w:t>
            </w:r>
            <w:r w:rsidR="001A4203">
              <w:rPr>
                <w:color w:val="000000" w:themeColor="text1"/>
                <w:sz w:val="20"/>
                <w:szCs w:val="20"/>
              </w:rPr>
              <w:t xml:space="preserve"> in place in Tanzania</w:t>
            </w:r>
            <w:r w:rsidRPr="00C7304C">
              <w:rPr>
                <w:color w:val="000000" w:themeColor="text1"/>
                <w:sz w:val="20"/>
                <w:szCs w:val="20"/>
              </w:rPr>
              <w:t xml:space="preserve"> soon after the business meeting to follow up with i</w:t>
            </w:r>
            <w:r w:rsidR="001A4203">
              <w:rPr>
                <w:color w:val="000000" w:themeColor="text1"/>
                <w:sz w:val="20"/>
                <w:szCs w:val="20"/>
              </w:rPr>
              <w:t>nterested DPs</w:t>
            </w:r>
            <w:r w:rsidRPr="00C7304C">
              <w:rPr>
                <w:color w:val="000000" w:themeColor="text1"/>
                <w:sz w:val="20"/>
                <w:szCs w:val="20"/>
              </w:rPr>
              <w:t xml:space="preserve"> for funding</w:t>
            </w:r>
            <w:r w:rsidR="001A4203">
              <w:rPr>
                <w:color w:val="000000" w:themeColor="text1"/>
                <w:sz w:val="20"/>
                <w:szCs w:val="20"/>
              </w:rPr>
              <w:t xml:space="preserve"> has slowed down </w:t>
            </w:r>
            <w:r w:rsidR="005972F4">
              <w:rPr>
                <w:color w:val="000000" w:themeColor="text1"/>
                <w:sz w:val="20"/>
                <w:szCs w:val="20"/>
              </w:rPr>
              <w:t xml:space="preserve">resource mobilization </w:t>
            </w:r>
            <w:r w:rsidR="005972F4">
              <w:rPr>
                <w:color w:val="000000" w:themeColor="text1"/>
                <w:sz w:val="20"/>
                <w:szCs w:val="20"/>
              </w:rPr>
              <w:lastRenderedPageBreak/>
              <w:t>efforts</w:t>
            </w:r>
          </w:p>
        </w:tc>
        <w:tc>
          <w:tcPr>
            <w:tcW w:w="3785" w:type="dxa"/>
          </w:tcPr>
          <w:p w:rsidR="007F75A4" w:rsidRPr="00C7304C" w:rsidRDefault="007F75A4" w:rsidP="00723938">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7304C">
              <w:rPr>
                <w:color w:val="000000" w:themeColor="text1"/>
                <w:sz w:val="20"/>
                <w:szCs w:val="20"/>
              </w:rPr>
              <w:lastRenderedPageBreak/>
              <w:t>Continue engaging</w:t>
            </w:r>
            <w:r w:rsidR="00723938" w:rsidRPr="00C7304C">
              <w:rPr>
                <w:color w:val="000000" w:themeColor="text1"/>
                <w:sz w:val="20"/>
                <w:szCs w:val="20"/>
              </w:rPr>
              <w:t xml:space="preserve"> Uganda and Malawi</w:t>
            </w:r>
            <w:r w:rsidRPr="00C7304C">
              <w:rPr>
                <w:color w:val="000000" w:themeColor="text1"/>
                <w:sz w:val="20"/>
                <w:szCs w:val="20"/>
              </w:rPr>
              <w:t xml:space="preserve"> towards convening the business meeting</w:t>
            </w:r>
            <w:r w:rsidR="00723938" w:rsidRPr="00C7304C">
              <w:rPr>
                <w:color w:val="000000" w:themeColor="text1"/>
                <w:sz w:val="20"/>
                <w:szCs w:val="20"/>
              </w:rPr>
              <w:t>s in 3</w:t>
            </w:r>
            <w:r w:rsidR="00723938" w:rsidRPr="00C7304C">
              <w:rPr>
                <w:color w:val="000000" w:themeColor="text1"/>
                <w:sz w:val="20"/>
                <w:szCs w:val="20"/>
                <w:vertAlign w:val="superscript"/>
              </w:rPr>
              <w:t>rd</w:t>
            </w:r>
            <w:r w:rsidR="00723938" w:rsidRPr="00C7304C">
              <w:rPr>
                <w:color w:val="000000" w:themeColor="text1"/>
                <w:sz w:val="20"/>
                <w:szCs w:val="20"/>
              </w:rPr>
              <w:t xml:space="preserve"> and 4</w:t>
            </w:r>
            <w:r w:rsidR="00723938" w:rsidRPr="00C7304C">
              <w:rPr>
                <w:color w:val="000000" w:themeColor="text1"/>
                <w:sz w:val="20"/>
                <w:szCs w:val="20"/>
                <w:vertAlign w:val="superscript"/>
              </w:rPr>
              <w:t>th</w:t>
            </w:r>
            <w:r w:rsidR="00723938" w:rsidRPr="00C7304C">
              <w:rPr>
                <w:color w:val="000000" w:themeColor="text1"/>
                <w:sz w:val="20"/>
                <w:szCs w:val="20"/>
              </w:rPr>
              <w:t xml:space="preserve"> quarter</w:t>
            </w:r>
            <w:r w:rsidR="004264DD">
              <w:rPr>
                <w:color w:val="000000" w:themeColor="text1"/>
                <w:sz w:val="20"/>
                <w:szCs w:val="20"/>
              </w:rPr>
              <w:t>s</w:t>
            </w:r>
            <w:r w:rsidR="00723938" w:rsidRPr="00C7304C">
              <w:rPr>
                <w:color w:val="000000" w:themeColor="text1"/>
                <w:sz w:val="20"/>
                <w:szCs w:val="20"/>
              </w:rPr>
              <w:t xml:space="preserve"> respectively</w:t>
            </w:r>
          </w:p>
        </w:tc>
      </w:tr>
      <w:tr w:rsidR="002441D5"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tcPr>
          <w:p w:rsidR="007F75A4" w:rsidRPr="00C7304C" w:rsidRDefault="007F75A4" w:rsidP="00A928AB">
            <w:pPr>
              <w:spacing w:before="0"/>
              <w:rPr>
                <w:rFonts w:cs="Calibri"/>
                <w:b w:val="0"/>
                <w:color w:val="000000"/>
                <w:sz w:val="20"/>
              </w:rPr>
            </w:pPr>
            <w:r w:rsidRPr="00C7304C">
              <w:rPr>
                <w:rFonts w:cs="Calibri"/>
                <w:b w:val="0"/>
                <w:color w:val="000000"/>
                <w:sz w:val="20"/>
              </w:rPr>
              <w:lastRenderedPageBreak/>
              <w:t xml:space="preserve">Hiring of PACA Country Officers </w:t>
            </w:r>
            <w:r w:rsidR="00A928AB" w:rsidRPr="00C7304C">
              <w:rPr>
                <w:rFonts w:cs="Calibri"/>
                <w:b w:val="0"/>
                <w:color w:val="000000"/>
                <w:sz w:val="20"/>
              </w:rPr>
              <w:t xml:space="preserve">(Cos) </w:t>
            </w:r>
          </w:p>
        </w:tc>
        <w:tc>
          <w:tcPr>
            <w:tcW w:w="4590" w:type="dxa"/>
            <w:gridSpan w:val="2"/>
            <w:tcBorders>
              <w:left w:val="none" w:sz="0" w:space="0" w:color="auto"/>
              <w:right w:val="none" w:sz="0" w:space="0" w:color="auto"/>
            </w:tcBorders>
          </w:tcPr>
          <w:p w:rsidR="00A928AB" w:rsidRPr="00C7304C" w:rsidRDefault="006236A5"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Pr>
                <w:rFonts w:eastAsiaTheme="minorEastAsia"/>
                <w:color w:val="000000" w:themeColor="text1"/>
                <w:sz w:val="20"/>
                <w:szCs w:val="20"/>
              </w:rPr>
              <w:t>Malawi,</w:t>
            </w:r>
            <w:r w:rsidR="007F75A4" w:rsidRPr="00C7304C">
              <w:rPr>
                <w:rFonts w:eastAsiaTheme="minorEastAsia"/>
                <w:color w:val="000000" w:themeColor="text1"/>
                <w:sz w:val="20"/>
                <w:szCs w:val="20"/>
              </w:rPr>
              <w:t xml:space="preserve"> Tanzania</w:t>
            </w:r>
            <w:r>
              <w:rPr>
                <w:rFonts w:eastAsiaTheme="minorEastAsia"/>
                <w:color w:val="000000" w:themeColor="text1"/>
                <w:sz w:val="20"/>
                <w:szCs w:val="20"/>
              </w:rPr>
              <w:t xml:space="preserve"> and Uganda</w:t>
            </w:r>
            <w:r w:rsidR="007F75A4" w:rsidRPr="00C7304C">
              <w:rPr>
                <w:rFonts w:eastAsiaTheme="minorEastAsia"/>
                <w:color w:val="000000" w:themeColor="text1"/>
                <w:sz w:val="20"/>
                <w:szCs w:val="20"/>
              </w:rPr>
              <w:t xml:space="preserve"> have selected candidates </w:t>
            </w:r>
            <w:r w:rsidR="00A928AB" w:rsidRPr="00C7304C">
              <w:rPr>
                <w:rFonts w:eastAsiaTheme="minorEastAsia"/>
                <w:color w:val="000000" w:themeColor="text1"/>
                <w:sz w:val="20"/>
                <w:szCs w:val="20"/>
              </w:rPr>
              <w:t>for the positi</w:t>
            </w:r>
            <w:r>
              <w:rPr>
                <w:rFonts w:eastAsiaTheme="minorEastAsia"/>
                <w:color w:val="000000" w:themeColor="text1"/>
                <w:sz w:val="20"/>
                <w:szCs w:val="20"/>
              </w:rPr>
              <w:t>on</w:t>
            </w:r>
          </w:p>
          <w:p w:rsidR="006236A5" w:rsidRDefault="00A928AB"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Memoranda of Agreements between AUC and </w:t>
            </w:r>
            <w:r w:rsidR="006236A5">
              <w:rPr>
                <w:rFonts w:eastAsiaTheme="minorEastAsia"/>
                <w:color w:val="000000" w:themeColor="text1"/>
                <w:sz w:val="20"/>
                <w:szCs w:val="20"/>
              </w:rPr>
              <w:t>Malawi/Tanzania</w:t>
            </w:r>
            <w:r w:rsidRPr="00C7304C">
              <w:rPr>
                <w:rFonts w:eastAsiaTheme="minorEastAsia"/>
                <w:color w:val="000000" w:themeColor="text1"/>
                <w:sz w:val="20"/>
                <w:szCs w:val="20"/>
              </w:rPr>
              <w:t xml:space="preserve"> are in place. </w:t>
            </w:r>
          </w:p>
          <w:p w:rsidR="006236A5" w:rsidRDefault="00A928AB"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CO for Malawi expected to assume position on 1 July 2016. </w:t>
            </w:r>
          </w:p>
          <w:p w:rsidR="00A928AB" w:rsidRPr="00C7304C" w:rsidRDefault="00A928AB"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CO for Tanzania expected to assume position on 1 September 2016. </w:t>
            </w:r>
          </w:p>
          <w:p w:rsidR="007F75A4" w:rsidRPr="00C7304C" w:rsidRDefault="007F75A4"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Uganda </w:t>
            </w:r>
            <w:r w:rsidR="00A928AB" w:rsidRPr="00C7304C">
              <w:rPr>
                <w:rFonts w:eastAsiaTheme="minorEastAsia"/>
                <w:color w:val="000000" w:themeColor="text1"/>
                <w:sz w:val="20"/>
                <w:szCs w:val="20"/>
              </w:rPr>
              <w:t xml:space="preserve">clearance of </w:t>
            </w:r>
            <w:proofErr w:type="spellStart"/>
            <w:r w:rsidRPr="00C7304C">
              <w:rPr>
                <w:rFonts w:eastAsiaTheme="minorEastAsia"/>
                <w:color w:val="000000" w:themeColor="text1"/>
                <w:sz w:val="20"/>
                <w:szCs w:val="20"/>
              </w:rPr>
              <w:t>MoA</w:t>
            </w:r>
            <w:proofErr w:type="spellEnd"/>
            <w:r w:rsidR="00A928AB" w:rsidRPr="00C7304C">
              <w:rPr>
                <w:rFonts w:eastAsiaTheme="minorEastAsia"/>
                <w:color w:val="000000" w:themeColor="text1"/>
                <w:sz w:val="20"/>
                <w:szCs w:val="20"/>
              </w:rPr>
              <w:t xml:space="preserve"> in various Government Offices has been </w:t>
            </w:r>
            <w:r w:rsidR="004F6956" w:rsidRPr="00C7304C">
              <w:rPr>
                <w:rFonts w:eastAsiaTheme="minorEastAsia"/>
                <w:color w:val="000000" w:themeColor="text1"/>
                <w:sz w:val="20"/>
                <w:szCs w:val="20"/>
              </w:rPr>
              <w:t>finalized</w:t>
            </w:r>
          </w:p>
        </w:tc>
        <w:tc>
          <w:tcPr>
            <w:tcW w:w="3060" w:type="dxa"/>
            <w:tcBorders>
              <w:left w:val="none" w:sz="0" w:space="0" w:color="auto"/>
              <w:right w:val="none" w:sz="0" w:space="0" w:color="auto"/>
            </w:tcBorders>
          </w:tcPr>
          <w:p w:rsidR="007F75A4" w:rsidRPr="00C7304C" w:rsidRDefault="004F6956" w:rsidP="004F6956">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 xml:space="preserve">Uganda’s insistence on having the </w:t>
            </w:r>
            <w:proofErr w:type="spellStart"/>
            <w:r w:rsidRPr="00C7304C">
              <w:rPr>
                <w:color w:val="000000" w:themeColor="text1"/>
                <w:sz w:val="20"/>
                <w:szCs w:val="20"/>
              </w:rPr>
              <w:t>MoA</w:t>
            </w:r>
            <w:proofErr w:type="spellEnd"/>
            <w:r w:rsidRPr="00C7304C">
              <w:rPr>
                <w:color w:val="000000" w:themeColor="text1"/>
                <w:sz w:val="20"/>
                <w:szCs w:val="20"/>
              </w:rPr>
              <w:t xml:space="preserve"> Governed by National Law instead of International Law will delay the finalization of </w:t>
            </w:r>
            <w:proofErr w:type="spellStart"/>
            <w:r w:rsidRPr="00C7304C">
              <w:rPr>
                <w:color w:val="000000" w:themeColor="text1"/>
                <w:sz w:val="20"/>
                <w:szCs w:val="20"/>
              </w:rPr>
              <w:t>MoA</w:t>
            </w:r>
            <w:proofErr w:type="spellEnd"/>
            <w:r w:rsidRPr="00C7304C">
              <w:rPr>
                <w:color w:val="000000" w:themeColor="text1"/>
                <w:sz w:val="20"/>
                <w:szCs w:val="20"/>
              </w:rPr>
              <w:t xml:space="preserve"> and signing by AUC</w:t>
            </w:r>
          </w:p>
        </w:tc>
        <w:tc>
          <w:tcPr>
            <w:tcW w:w="3785" w:type="dxa"/>
            <w:tcBorders>
              <w:left w:val="none" w:sz="0" w:space="0" w:color="auto"/>
              <w:right w:val="none" w:sz="0" w:space="0" w:color="auto"/>
            </w:tcBorders>
          </w:tcPr>
          <w:p w:rsidR="007F75A4" w:rsidRPr="00C7304C" w:rsidRDefault="004F6956"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 xml:space="preserve">Continue engaging Uganda to finalize the </w:t>
            </w:r>
            <w:proofErr w:type="spellStart"/>
            <w:r w:rsidRPr="00C7304C">
              <w:rPr>
                <w:color w:val="000000" w:themeColor="text1"/>
                <w:sz w:val="20"/>
                <w:szCs w:val="20"/>
              </w:rPr>
              <w:t>MoA</w:t>
            </w:r>
            <w:proofErr w:type="spellEnd"/>
            <w:r w:rsidRPr="00C7304C">
              <w:rPr>
                <w:color w:val="000000" w:themeColor="text1"/>
                <w:sz w:val="20"/>
                <w:szCs w:val="20"/>
              </w:rPr>
              <w:t xml:space="preserve"> </w:t>
            </w:r>
          </w:p>
        </w:tc>
      </w:tr>
      <w:tr w:rsidR="008F20D9" w:rsidRPr="00C7304C" w:rsidTr="002441D5">
        <w:tc>
          <w:tcPr>
            <w:cnfStyle w:val="001000000000" w:firstRow="0" w:lastRow="0" w:firstColumn="1" w:lastColumn="0" w:oddVBand="0" w:evenVBand="0" w:oddHBand="0" w:evenHBand="0" w:firstRowFirstColumn="0" w:firstRowLastColumn="0" w:lastRowFirstColumn="0" w:lastRowLastColumn="0"/>
            <w:tcW w:w="14765" w:type="dxa"/>
            <w:gridSpan w:val="5"/>
            <w:shd w:val="clear" w:color="auto" w:fill="C2D69B" w:themeFill="accent3" w:themeFillTint="99"/>
          </w:tcPr>
          <w:p w:rsidR="008F20D9" w:rsidRPr="00C7304C" w:rsidRDefault="008F20D9" w:rsidP="00D80A85">
            <w:pPr>
              <w:pStyle w:val="ListParagraph"/>
              <w:numPr>
                <w:ilvl w:val="1"/>
                <w:numId w:val="4"/>
              </w:numPr>
              <w:spacing w:before="0"/>
              <w:rPr>
                <w:color w:val="000000" w:themeColor="text1"/>
                <w:sz w:val="20"/>
                <w:szCs w:val="20"/>
              </w:rPr>
            </w:pPr>
            <w:r w:rsidRPr="00C7304C">
              <w:rPr>
                <w:rFonts w:cs="Calibri"/>
                <w:color w:val="000000"/>
                <w:sz w:val="20"/>
              </w:rPr>
              <w:t>Establishing the Africa Aflatoxin Information Management System (AfricaAIMS)</w:t>
            </w:r>
          </w:p>
        </w:tc>
      </w:tr>
      <w:tr w:rsidR="009A39EE" w:rsidRPr="00C7304C" w:rsidTr="00E87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tcPr>
          <w:p w:rsidR="007F75A4" w:rsidRPr="00C7304C" w:rsidRDefault="007F75A4" w:rsidP="00F5101C">
            <w:pPr>
              <w:spacing w:before="0"/>
              <w:rPr>
                <w:rFonts w:cs="Calibri"/>
                <w:b w:val="0"/>
                <w:color w:val="000000"/>
                <w:sz w:val="20"/>
              </w:rPr>
            </w:pPr>
            <w:r w:rsidRPr="00C7304C">
              <w:rPr>
                <w:rFonts w:cs="Calibri"/>
                <w:b w:val="0"/>
                <w:color w:val="000000"/>
                <w:sz w:val="20"/>
              </w:rPr>
              <w:t>Establishing the Africa Aflatoxin Information Management System (AfricaAIMS)</w:t>
            </w:r>
          </w:p>
        </w:tc>
        <w:tc>
          <w:tcPr>
            <w:tcW w:w="4590" w:type="dxa"/>
            <w:gridSpan w:val="2"/>
            <w:tcBorders>
              <w:left w:val="none" w:sz="0" w:space="0" w:color="auto"/>
              <w:right w:val="none" w:sz="0" w:space="0" w:color="auto"/>
            </w:tcBorders>
          </w:tcPr>
          <w:p w:rsidR="008F20D9" w:rsidRPr="00C7304C" w:rsidRDefault="00990CE9"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Malawi, </w:t>
            </w:r>
            <w:r w:rsidR="007F75A4" w:rsidRPr="00C7304C">
              <w:rPr>
                <w:rFonts w:eastAsiaTheme="minorEastAsia"/>
                <w:color w:val="000000" w:themeColor="text1"/>
                <w:sz w:val="20"/>
                <w:szCs w:val="20"/>
              </w:rPr>
              <w:t xml:space="preserve">Tanzania and Uganda have signed </w:t>
            </w:r>
            <w:proofErr w:type="spellStart"/>
            <w:r w:rsidR="007F75A4" w:rsidRPr="00C7304C">
              <w:rPr>
                <w:rFonts w:eastAsiaTheme="minorEastAsia"/>
                <w:color w:val="000000" w:themeColor="text1"/>
                <w:sz w:val="20"/>
                <w:szCs w:val="20"/>
              </w:rPr>
              <w:t>LoAs</w:t>
            </w:r>
            <w:proofErr w:type="spellEnd"/>
            <w:r w:rsidR="007F75A4" w:rsidRPr="00C7304C">
              <w:rPr>
                <w:rFonts w:eastAsiaTheme="minorEastAsia"/>
                <w:color w:val="000000" w:themeColor="text1"/>
                <w:sz w:val="20"/>
                <w:szCs w:val="20"/>
              </w:rPr>
              <w:t xml:space="preserve"> with AUC</w:t>
            </w:r>
            <w:r w:rsidRPr="00C7304C">
              <w:rPr>
                <w:rFonts w:eastAsiaTheme="minorEastAsia"/>
                <w:color w:val="000000" w:themeColor="text1"/>
                <w:sz w:val="20"/>
                <w:szCs w:val="20"/>
              </w:rPr>
              <w:t xml:space="preserve">. </w:t>
            </w:r>
          </w:p>
          <w:p w:rsidR="008F20D9" w:rsidRPr="00C7304C" w:rsidRDefault="00990CE9"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PACA Secretariat with AU-IBAR have finalized the development of modules for Afr</w:t>
            </w:r>
            <w:r w:rsidR="006236A5">
              <w:rPr>
                <w:rFonts w:eastAsiaTheme="minorEastAsia"/>
                <w:color w:val="000000" w:themeColor="text1"/>
                <w:sz w:val="20"/>
                <w:szCs w:val="20"/>
              </w:rPr>
              <w:t xml:space="preserve">icaAIMS (health, trade and </w:t>
            </w:r>
            <w:r w:rsidRPr="00C7304C">
              <w:rPr>
                <w:rFonts w:eastAsiaTheme="minorEastAsia"/>
                <w:color w:val="000000" w:themeColor="text1"/>
                <w:sz w:val="20"/>
                <w:szCs w:val="20"/>
              </w:rPr>
              <w:t>agriculture)</w:t>
            </w:r>
          </w:p>
          <w:p w:rsidR="008F20D9" w:rsidRPr="00C7304C" w:rsidRDefault="00990CE9"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Refresher training on the AfricaAIMS portal was conducted for focal points in Uganda, Tanzania, Gambia and Senegal</w:t>
            </w:r>
          </w:p>
          <w:p w:rsidR="008F20D9" w:rsidRPr="00C7304C" w:rsidRDefault="00990CE9"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 xml:space="preserve">Uganda and Tanzania have uploaded data on AfricaAIMS </w:t>
            </w:r>
          </w:p>
          <w:p w:rsidR="007F75A4" w:rsidRPr="00C7304C" w:rsidRDefault="00990CE9" w:rsidP="00D80A85">
            <w:pPr>
              <w:pStyle w:val="ListParagraph"/>
              <w:numPr>
                <w:ilvl w:val="0"/>
                <w:numId w:val="7"/>
              </w:numPr>
              <w:spacing w:before="0"/>
              <w:ind w:left="203" w:hanging="157"/>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00C7304C">
              <w:rPr>
                <w:rFonts w:eastAsiaTheme="minorEastAsia"/>
                <w:color w:val="000000" w:themeColor="text1"/>
                <w:sz w:val="20"/>
                <w:szCs w:val="20"/>
              </w:rPr>
              <w:t>Malawi has collected data for AfricaAIMS and analysis has been initiated.</w:t>
            </w:r>
          </w:p>
        </w:tc>
        <w:tc>
          <w:tcPr>
            <w:tcW w:w="3060" w:type="dxa"/>
            <w:tcBorders>
              <w:left w:val="none" w:sz="0" w:space="0" w:color="auto"/>
              <w:right w:val="none" w:sz="0" w:space="0" w:color="auto"/>
            </w:tcBorders>
          </w:tcPr>
          <w:p w:rsidR="007F75A4" w:rsidRPr="00C7304C" w:rsidRDefault="00990CE9" w:rsidP="006236A5">
            <w:pPr>
              <w:pStyle w:val="ListParagraph"/>
              <w:numPr>
                <w:ilvl w:val="0"/>
                <w:numId w:val="7"/>
              </w:numPr>
              <w:spacing w:before="0"/>
              <w:ind w:left="162" w:hanging="108"/>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Some equipment supplied to Malawi (blender) were faulty</w:t>
            </w:r>
            <w:r w:rsidR="006236A5">
              <w:rPr>
                <w:color w:val="000000" w:themeColor="text1"/>
                <w:sz w:val="20"/>
                <w:szCs w:val="20"/>
              </w:rPr>
              <w:t xml:space="preserve">- this </w:t>
            </w:r>
            <w:r w:rsidRPr="00C7304C">
              <w:rPr>
                <w:color w:val="000000" w:themeColor="text1"/>
                <w:sz w:val="20"/>
                <w:szCs w:val="20"/>
              </w:rPr>
              <w:t>stalled the finalization of data analysis</w:t>
            </w:r>
            <w:r w:rsidR="006236A5">
              <w:rPr>
                <w:color w:val="000000" w:themeColor="text1"/>
                <w:sz w:val="20"/>
                <w:szCs w:val="20"/>
              </w:rPr>
              <w:t xml:space="preserve"> in Malawi</w:t>
            </w:r>
          </w:p>
          <w:p w:rsidR="00990CE9" w:rsidRPr="00C7304C" w:rsidRDefault="00990CE9"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990CE9" w:rsidRPr="00C7304C" w:rsidRDefault="00990CE9"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990CE9" w:rsidRPr="00C7304C" w:rsidRDefault="00990CE9"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990CE9" w:rsidRPr="00C7304C" w:rsidRDefault="00990CE9"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785" w:type="dxa"/>
            <w:tcBorders>
              <w:left w:val="none" w:sz="0" w:space="0" w:color="auto"/>
              <w:right w:val="none" w:sz="0" w:space="0" w:color="auto"/>
            </w:tcBorders>
          </w:tcPr>
          <w:p w:rsidR="008F20D9" w:rsidRPr="00C7304C" w:rsidRDefault="00990CE9" w:rsidP="00D80A85">
            <w:pPr>
              <w:pStyle w:val="ListParagraph"/>
              <w:numPr>
                <w:ilvl w:val="0"/>
                <w:numId w:val="7"/>
              </w:numPr>
              <w:spacing w:before="0"/>
              <w:ind w:left="85" w:hanging="95"/>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 xml:space="preserve">Replace faulty blenders to enable </w:t>
            </w:r>
            <w:r w:rsidR="008F20D9" w:rsidRPr="00C7304C">
              <w:rPr>
                <w:color w:val="000000" w:themeColor="text1"/>
                <w:sz w:val="20"/>
                <w:szCs w:val="20"/>
              </w:rPr>
              <w:t>finalization</w:t>
            </w:r>
            <w:r w:rsidRPr="00C7304C">
              <w:rPr>
                <w:color w:val="000000" w:themeColor="text1"/>
                <w:sz w:val="20"/>
                <w:szCs w:val="20"/>
              </w:rPr>
              <w:t xml:space="preserve"> of data analysis</w:t>
            </w:r>
          </w:p>
          <w:p w:rsidR="00990CE9" w:rsidRPr="00C7304C" w:rsidRDefault="00990CE9" w:rsidP="00D80A85">
            <w:pPr>
              <w:pStyle w:val="ListParagraph"/>
              <w:numPr>
                <w:ilvl w:val="0"/>
                <w:numId w:val="7"/>
              </w:numPr>
              <w:spacing w:before="0"/>
              <w:ind w:left="85" w:hanging="95"/>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7304C">
              <w:rPr>
                <w:color w:val="000000" w:themeColor="text1"/>
                <w:sz w:val="20"/>
                <w:szCs w:val="20"/>
              </w:rPr>
              <w:t xml:space="preserve">Conduct </w:t>
            </w:r>
            <w:r w:rsidR="008F20D9" w:rsidRPr="00C7304C">
              <w:rPr>
                <w:color w:val="000000" w:themeColor="text1"/>
                <w:sz w:val="20"/>
                <w:szCs w:val="20"/>
              </w:rPr>
              <w:t>refresher</w:t>
            </w:r>
            <w:r w:rsidRPr="00C7304C">
              <w:rPr>
                <w:color w:val="000000" w:themeColor="text1"/>
                <w:sz w:val="20"/>
                <w:szCs w:val="20"/>
              </w:rPr>
              <w:t xml:space="preserve"> training for Malawi and Nigeria to allow for data to be submitted in Malawi on Afri</w:t>
            </w:r>
            <w:r w:rsidR="008F20D9" w:rsidRPr="00C7304C">
              <w:rPr>
                <w:color w:val="000000" w:themeColor="text1"/>
                <w:sz w:val="20"/>
                <w:szCs w:val="20"/>
              </w:rPr>
              <w:t>c</w:t>
            </w:r>
            <w:r w:rsidRPr="00C7304C">
              <w:rPr>
                <w:color w:val="000000" w:themeColor="text1"/>
                <w:sz w:val="20"/>
                <w:szCs w:val="20"/>
              </w:rPr>
              <w:t>aAIMS</w:t>
            </w:r>
          </w:p>
          <w:p w:rsidR="00990CE9" w:rsidRPr="00C7304C" w:rsidRDefault="00990CE9" w:rsidP="00F5101C">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rsidR="007F75A4" w:rsidRPr="00FB5675" w:rsidRDefault="007F75A4" w:rsidP="000D0CB6">
      <w:pPr>
        <w:spacing w:before="0"/>
        <w:rPr>
          <w:rFonts w:eastAsiaTheme="minorHAnsi" w:cs="Arial"/>
          <w:b/>
          <w:color w:val="4F6228" w:themeColor="accent3" w:themeShade="80"/>
          <w:sz w:val="28"/>
          <w:szCs w:val="28"/>
        </w:rPr>
      </w:pPr>
    </w:p>
    <w:p w:rsidR="00ED156F" w:rsidRDefault="00ED156F" w:rsidP="000D0CB6">
      <w:pPr>
        <w:spacing w:before="0"/>
        <w:rPr>
          <w:rFonts w:eastAsiaTheme="minorHAnsi" w:cs="Arial"/>
          <w:b/>
          <w:color w:val="4F6228" w:themeColor="accent3" w:themeShade="80"/>
          <w:sz w:val="28"/>
          <w:szCs w:val="28"/>
        </w:rPr>
      </w:pPr>
    </w:p>
    <w:p w:rsidR="009E6ACB" w:rsidRPr="000D0CB6" w:rsidRDefault="009E6ACB" w:rsidP="00D7720F">
      <w:pPr>
        <w:spacing w:before="0"/>
        <w:rPr>
          <w:rFonts w:eastAsiaTheme="minorHAnsi" w:cstheme="minorBidi"/>
          <w:i/>
          <w:sz w:val="24"/>
          <w:szCs w:val="24"/>
        </w:rPr>
      </w:pPr>
    </w:p>
    <w:sectPr w:rsidR="009E6ACB" w:rsidRPr="000D0CB6" w:rsidSect="003101B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DD" w:rsidRDefault="00F14CDD" w:rsidP="00F9145D">
      <w:pPr>
        <w:spacing w:before="0"/>
      </w:pPr>
      <w:r>
        <w:separator/>
      </w:r>
    </w:p>
  </w:endnote>
  <w:endnote w:type="continuationSeparator" w:id="0">
    <w:p w:rsidR="00F14CDD" w:rsidRDefault="00F14CDD" w:rsidP="00F914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1D" w:rsidRPr="00E3204F" w:rsidRDefault="00C3191D" w:rsidP="00E3204F">
    <w:pPr>
      <w:pStyle w:val="Footer"/>
      <w:pBdr>
        <w:top w:val="single" w:sz="4" w:space="1" w:color="auto"/>
      </w:pBdr>
      <w:rPr>
        <w:color w:val="35421A"/>
      </w:rPr>
    </w:pPr>
    <w:r>
      <w:rPr>
        <w:b/>
        <w:i/>
        <w:color w:val="35421A"/>
      </w:rPr>
      <w:t>PACA Regional Report- East and Southern Africa</w:t>
    </w:r>
    <w:sdt>
      <w:sdtPr>
        <w:rPr>
          <w:color w:val="35421A"/>
        </w:rPr>
        <w:id w:val="-1516999073"/>
        <w:docPartObj>
          <w:docPartGallery w:val="Page Numbers (Top of Page)"/>
          <w:docPartUnique/>
        </w:docPartObj>
      </w:sdtPr>
      <w:sdtEndPr/>
      <w:sdtContent>
        <w:r>
          <w:rPr>
            <w:color w:val="35421A"/>
          </w:rPr>
          <w:tab/>
          <w:t xml:space="preserve">Page </w:t>
        </w:r>
        <w:r>
          <w:rPr>
            <w:color w:val="35421A"/>
          </w:rPr>
          <w:fldChar w:fldCharType="begin"/>
        </w:r>
        <w:r>
          <w:rPr>
            <w:color w:val="35421A"/>
          </w:rPr>
          <w:instrText xml:space="preserve"> PAGE </w:instrText>
        </w:r>
        <w:r>
          <w:rPr>
            <w:color w:val="35421A"/>
          </w:rPr>
          <w:fldChar w:fldCharType="separate"/>
        </w:r>
        <w:r w:rsidR="00E27AB4">
          <w:rPr>
            <w:noProof/>
            <w:color w:val="35421A"/>
          </w:rPr>
          <w:t>10</w:t>
        </w:r>
        <w:r>
          <w:rPr>
            <w:color w:val="35421A"/>
          </w:rPr>
          <w:fldChar w:fldCharType="end"/>
        </w:r>
        <w:r>
          <w:rPr>
            <w:color w:val="35421A"/>
          </w:rPr>
          <w:t xml:space="preserve"> of </w:t>
        </w:r>
        <w:r>
          <w:rPr>
            <w:color w:val="35421A"/>
          </w:rPr>
          <w:fldChar w:fldCharType="begin"/>
        </w:r>
        <w:r>
          <w:rPr>
            <w:color w:val="35421A"/>
          </w:rPr>
          <w:instrText xml:space="preserve"> NUMPAGES  </w:instrText>
        </w:r>
        <w:r>
          <w:rPr>
            <w:color w:val="35421A"/>
          </w:rPr>
          <w:fldChar w:fldCharType="separate"/>
        </w:r>
        <w:r w:rsidR="00E27AB4">
          <w:rPr>
            <w:noProof/>
            <w:color w:val="35421A"/>
          </w:rPr>
          <w:t>10</w:t>
        </w:r>
        <w:r>
          <w:rPr>
            <w:color w:val="35421A"/>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37568"/>
      <w:docPartObj>
        <w:docPartGallery w:val="Page Numbers (Bottom of Page)"/>
        <w:docPartUnique/>
      </w:docPartObj>
    </w:sdtPr>
    <w:sdtEndPr/>
    <w:sdtContent>
      <w:sdt>
        <w:sdtPr>
          <w:id w:val="860082579"/>
          <w:docPartObj>
            <w:docPartGallery w:val="Page Numbers (Top of Page)"/>
            <w:docPartUnique/>
          </w:docPartObj>
        </w:sdtPr>
        <w:sdtEndPr/>
        <w:sdtContent>
          <w:p w:rsidR="005E1B68" w:rsidRDefault="005E1B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7A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7AB4">
              <w:rPr>
                <w:b/>
                <w:bCs/>
                <w:noProof/>
              </w:rPr>
              <w:t>10</w:t>
            </w:r>
            <w:r>
              <w:rPr>
                <w:b/>
                <w:bCs/>
                <w:sz w:val="24"/>
                <w:szCs w:val="24"/>
              </w:rPr>
              <w:fldChar w:fldCharType="end"/>
            </w:r>
          </w:p>
        </w:sdtContent>
      </w:sdt>
    </w:sdtContent>
  </w:sdt>
  <w:p w:rsidR="005E1B68" w:rsidRDefault="005E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DD" w:rsidRDefault="00F14CDD" w:rsidP="00F9145D">
      <w:pPr>
        <w:spacing w:before="0"/>
      </w:pPr>
      <w:r>
        <w:separator/>
      </w:r>
    </w:p>
  </w:footnote>
  <w:footnote w:type="continuationSeparator" w:id="0">
    <w:p w:rsidR="00F14CDD" w:rsidRDefault="00F14CDD" w:rsidP="00F9145D">
      <w:pPr>
        <w:spacing w:before="0"/>
      </w:pPr>
      <w:r>
        <w:continuationSeparator/>
      </w:r>
    </w:p>
  </w:footnote>
  <w:footnote w:id="1">
    <w:p w:rsidR="00C3191D" w:rsidRDefault="00C3191D">
      <w:pPr>
        <w:pStyle w:val="FootnoteText"/>
      </w:pPr>
      <w:r>
        <w:rPr>
          <w:rStyle w:val="FootnoteReference"/>
        </w:rPr>
        <w:footnoteRef/>
      </w:r>
      <w:r>
        <w:t xml:space="preserve"> Malawi – Agriculture Sector Wide Approach (</w:t>
      </w:r>
      <w:proofErr w:type="spellStart"/>
      <w:r>
        <w:t>ASWAp</w:t>
      </w:r>
      <w:proofErr w:type="spellEnd"/>
      <w:r>
        <w:t>); Tanzania – Tanzania Food Security Investment Plan (ASDP); Uganda- Agriculture Sector Strategic Plan (ASSP)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1D" w:rsidRDefault="00C3191D">
    <w:pPr>
      <w:pStyle w:val="Header"/>
    </w:pPr>
    <w:r>
      <w:rPr>
        <w:noProof/>
        <w:lang w:val="en-GB" w:eastAsia="en-GB"/>
      </w:rPr>
      <w:drawing>
        <wp:inline distT="0" distB="0" distL="0" distR="0" wp14:anchorId="278CE1B1" wp14:editId="6C1EEFC6">
          <wp:extent cx="5943600" cy="721360"/>
          <wp:effectExtent l="0" t="0" r="0" b="2540"/>
          <wp:docPr id="4" name="Picture 4"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ulekas.MERLOC\Desktop\Paca_logo_multilenguag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l="6090" t="14679" r="3365" b="21101"/>
                  <a:stretch>
                    <a:fillRect/>
                  </a:stretch>
                </pic:blipFill>
                <pic:spPr bwMode="auto">
                  <a:xfrm>
                    <a:off x="0" y="0"/>
                    <a:ext cx="5943600"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39"/>
    <w:multiLevelType w:val="hybridMultilevel"/>
    <w:tmpl w:val="E55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71254"/>
    <w:multiLevelType w:val="multilevel"/>
    <w:tmpl w:val="B21A0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3517B29"/>
    <w:multiLevelType w:val="hybridMultilevel"/>
    <w:tmpl w:val="6E262BB2"/>
    <w:lvl w:ilvl="0" w:tplc="27BA6FEC">
      <w:start w:val="1"/>
      <w:numFmt w:val="bullet"/>
      <w:lvlText w:val="-"/>
      <w:lvlJc w:val="left"/>
      <w:pPr>
        <w:ind w:left="720" w:hanging="360"/>
      </w:pPr>
      <w:rPr>
        <w:rFonts w:ascii="Palatino Linotype" w:eastAsia="Times New Roman" w:hAnsi="Palatino Linotype" w:cs="Calibri" w:hint="default"/>
        <w:i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153D3"/>
    <w:multiLevelType w:val="hybridMultilevel"/>
    <w:tmpl w:val="3D4A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711622"/>
    <w:multiLevelType w:val="hybridMultilevel"/>
    <w:tmpl w:val="4C2A4BB6"/>
    <w:lvl w:ilvl="0" w:tplc="DC00A794">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936F7"/>
    <w:multiLevelType w:val="hybridMultilevel"/>
    <w:tmpl w:val="26E8EA7E"/>
    <w:lvl w:ilvl="0" w:tplc="092081CE">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666080"/>
    <w:multiLevelType w:val="multilevel"/>
    <w:tmpl w:val="29A2A6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nsid w:val="5213796C"/>
    <w:multiLevelType w:val="hybridMultilevel"/>
    <w:tmpl w:val="FF20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7B1E44"/>
    <w:multiLevelType w:val="multilevel"/>
    <w:tmpl w:val="8708A076"/>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9">
    <w:nsid w:val="6926203A"/>
    <w:multiLevelType w:val="hybridMultilevel"/>
    <w:tmpl w:val="15468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0A2C0B"/>
    <w:multiLevelType w:val="hybridMultilevel"/>
    <w:tmpl w:val="D86C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1538FC"/>
    <w:multiLevelType w:val="hybridMultilevel"/>
    <w:tmpl w:val="FB94FE0A"/>
    <w:lvl w:ilvl="0" w:tplc="FE6E8EA6">
      <w:start w:val="1"/>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11"/>
  </w:num>
  <w:num w:numId="7">
    <w:abstractNumId w:val="2"/>
  </w:num>
  <w:num w:numId="8">
    <w:abstractNumId w:val="5"/>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8D"/>
    <w:rsid w:val="00000BC3"/>
    <w:rsid w:val="00000E21"/>
    <w:rsid w:val="00005487"/>
    <w:rsid w:val="00006705"/>
    <w:rsid w:val="00006BEA"/>
    <w:rsid w:val="00010804"/>
    <w:rsid w:val="00010A5F"/>
    <w:rsid w:val="00013D4D"/>
    <w:rsid w:val="00015980"/>
    <w:rsid w:val="000167B6"/>
    <w:rsid w:val="0001771C"/>
    <w:rsid w:val="00027BF2"/>
    <w:rsid w:val="0003100D"/>
    <w:rsid w:val="000319B3"/>
    <w:rsid w:val="000322C3"/>
    <w:rsid w:val="00040578"/>
    <w:rsid w:val="00041540"/>
    <w:rsid w:val="00041C2E"/>
    <w:rsid w:val="00043125"/>
    <w:rsid w:val="00044561"/>
    <w:rsid w:val="000450EE"/>
    <w:rsid w:val="00046849"/>
    <w:rsid w:val="000471DF"/>
    <w:rsid w:val="00050B13"/>
    <w:rsid w:val="00051E51"/>
    <w:rsid w:val="000522F9"/>
    <w:rsid w:val="00054EBC"/>
    <w:rsid w:val="0005734A"/>
    <w:rsid w:val="000578E4"/>
    <w:rsid w:val="000621E1"/>
    <w:rsid w:val="00063D00"/>
    <w:rsid w:val="00080A60"/>
    <w:rsid w:val="000816FB"/>
    <w:rsid w:val="00082AD7"/>
    <w:rsid w:val="00087016"/>
    <w:rsid w:val="0009254A"/>
    <w:rsid w:val="00096EDB"/>
    <w:rsid w:val="000A0966"/>
    <w:rsid w:val="000A1C50"/>
    <w:rsid w:val="000A2842"/>
    <w:rsid w:val="000A2CAE"/>
    <w:rsid w:val="000A2CE1"/>
    <w:rsid w:val="000A3D61"/>
    <w:rsid w:val="000A4B69"/>
    <w:rsid w:val="000A6095"/>
    <w:rsid w:val="000B5106"/>
    <w:rsid w:val="000B72E2"/>
    <w:rsid w:val="000C1FF5"/>
    <w:rsid w:val="000C68C4"/>
    <w:rsid w:val="000C7457"/>
    <w:rsid w:val="000D0ADE"/>
    <w:rsid w:val="000D0CB6"/>
    <w:rsid w:val="000D0FAE"/>
    <w:rsid w:val="000D126E"/>
    <w:rsid w:val="000D2A68"/>
    <w:rsid w:val="000D339C"/>
    <w:rsid w:val="000E04B1"/>
    <w:rsid w:val="000E24BF"/>
    <w:rsid w:val="000E26F4"/>
    <w:rsid w:val="000E2D65"/>
    <w:rsid w:val="000E35DD"/>
    <w:rsid w:val="000F0307"/>
    <w:rsid w:val="000F4021"/>
    <w:rsid w:val="000F4378"/>
    <w:rsid w:val="000F5CBF"/>
    <w:rsid w:val="000F60E0"/>
    <w:rsid w:val="000F64CA"/>
    <w:rsid w:val="00101C6B"/>
    <w:rsid w:val="00102193"/>
    <w:rsid w:val="00103838"/>
    <w:rsid w:val="0010429A"/>
    <w:rsid w:val="00106949"/>
    <w:rsid w:val="00112CE6"/>
    <w:rsid w:val="00120C7B"/>
    <w:rsid w:val="00122290"/>
    <w:rsid w:val="00123A8D"/>
    <w:rsid w:val="00123D1F"/>
    <w:rsid w:val="0012677C"/>
    <w:rsid w:val="00126D9D"/>
    <w:rsid w:val="00127938"/>
    <w:rsid w:val="00130AEB"/>
    <w:rsid w:val="00134993"/>
    <w:rsid w:val="00136D48"/>
    <w:rsid w:val="00140A6A"/>
    <w:rsid w:val="00142E6E"/>
    <w:rsid w:val="00144C05"/>
    <w:rsid w:val="0014513C"/>
    <w:rsid w:val="0015183B"/>
    <w:rsid w:val="00154960"/>
    <w:rsid w:val="0015514E"/>
    <w:rsid w:val="00155357"/>
    <w:rsid w:val="00160BBB"/>
    <w:rsid w:val="00161964"/>
    <w:rsid w:val="001643DD"/>
    <w:rsid w:val="001678D0"/>
    <w:rsid w:val="00171A8D"/>
    <w:rsid w:val="00175793"/>
    <w:rsid w:val="00175E82"/>
    <w:rsid w:val="001760F4"/>
    <w:rsid w:val="0018138E"/>
    <w:rsid w:val="00182969"/>
    <w:rsid w:val="00184510"/>
    <w:rsid w:val="00185012"/>
    <w:rsid w:val="00186AE6"/>
    <w:rsid w:val="0019078D"/>
    <w:rsid w:val="001912B6"/>
    <w:rsid w:val="00192244"/>
    <w:rsid w:val="001A04BC"/>
    <w:rsid w:val="001A1BBF"/>
    <w:rsid w:val="001A4203"/>
    <w:rsid w:val="001A6179"/>
    <w:rsid w:val="001A6EC0"/>
    <w:rsid w:val="001A74E4"/>
    <w:rsid w:val="001B05C7"/>
    <w:rsid w:val="001B46EE"/>
    <w:rsid w:val="001C3245"/>
    <w:rsid w:val="001C44D9"/>
    <w:rsid w:val="001C67A7"/>
    <w:rsid w:val="001C7313"/>
    <w:rsid w:val="001D0874"/>
    <w:rsid w:val="001D1EB9"/>
    <w:rsid w:val="001D7092"/>
    <w:rsid w:val="001E0D73"/>
    <w:rsid w:val="001E2F47"/>
    <w:rsid w:val="001E58A9"/>
    <w:rsid w:val="001E5C68"/>
    <w:rsid w:val="001F22D1"/>
    <w:rsid w:val="001F247A"/>
    <w:rsid w:val="001F4673"/>
    <w:rsid w:val="001F4F9B"/>
    <w:rsid w:val="001F5C5E"/>
    <w:rsid w:val="001F71E6"/>
    <w:rsid w:val="001F7F8C"/>
    <w:rsid w:val="002002C9"/>
    <w:rsid w:val="00200955"/>
    <w:rsid w:val="002013EA"/>
    <w:rsid w:val="002016DE"/>
    <w:rsid w:val="0020372C"/>
    <w:rsid w:val="00205DBB"/>
    <w:rsid w:val="00206141"/>
    <w:rsid w:val="00206983"/>
    <w:rsid w:val="00206A0A"/>
    <w:rsid w:val="00207068"/>
    <w:rsid w:val="00210E3D"/>
    <w:rsid w:val="00212FC9"/>
    <w:rsid w:val="00214FBD"/>
    <w:rsid w:val="00216B5D"/>
    <w:rsid w:val="002178A4"/>
    <w:rsid w:val="00220EA8"/>
    <w:rsid w:val="00221317"/>
    <w:rsid w:val="00221DCA"/>
    <w:rsid w:val="00222026"/>
    <w:rsid w:val="00226034"/>
    <w:rsid w:val="002312D5"/>
    <w:rsid w:val="002313A8"/>
    <w:rsid w:val="00231FE4"/>
    <w:rsid w:val="00232F1B"/>
    <w:rsid w:val="00236978"/>
    <w:rsid w:val="00243550"/>
    <w:rsid w:val="002441D5"/>
    <w:rsid w:val="00244BBC"/>
    <w:rsid w:val="00244F06"/>
    <w:rsid w:val="00246A5C"/>
    <w:rsid w:val="00251A98"/>
    <w:rsid w:val="00251DE0"/>
    <w:rsid w:val="002520A4"/>
    <w:rsid w:val="002641CA"/>
    <w:rsid w:val="00264C44"/>
    <w:rsid w:val="00271095"/>
    <w:rsid w:val="00274510"/>
    <w:rsid w:val="002756BA"/>
    <w:rsid w:val="002775ED"/>
    <w:rsid w:val="0027765E"/>
    <w:rsid w:val="002831D4"/>
    <w:rsid w:val="002874E1"/>
    <w:rsid w:val="0028769C"/>
    <w:rsid w:val="0029072F"/>
    <w:rsid w:val="0029111E"/>
    <w:rsid w:val="002A029F"/>
    <w:rsid w:val="002A1332"/>
    <w:rsid w:val="002A17A2"/>
    <w:rsid w:val="002A3504"/>
    <w:rsid w:val="002A5D03"/>
    <w:rsid w:val="002A5DEC"/>
    <w:rsid w:val="002B2212"/>
    <w:rsid w:val="002B2899"/>
    <w:rsid w:val="002B2DF7"/>
    <w:rsid w:val="002B5876"/>
    <w:rsid w:val="002B6439"/>
    <w:rsid w:val="002B6975"/>
    <w:rsid w:val="002C2071"/>
    <w:rsid w:val="002C2F3B"/>
    <w:rsid w:val="002C308F"/>
    <w:rsid w:val="002C3F88"/>
    <w:rsid w:val="002C605D"/>
    <w:rsid w:val="002C79CF"/>
    <w:rsid w:val="002C7DF5"/>
    <w:rsid w:val="002D614C"/>
    <w:rsid w:val="002D6BA8"/>
    <w:rsid w:val="002D722F"/>
    <w:rsid w:val="002E0321"/>
    <w:rsid w:val="002E4C6A"/>
    <w:rsid w:val="002F0050"/>
    <w:rsid w:val="002F043D"/>
    <w:rsid w:val="002F5080"/>
    <w:rsid w:val="002F68F5"/>
    <w:rsid w:val="002F776F"/>
    <w:rsid w:val="003050FC"/>
    <w:rsid w:val="003101BC"/>
    <w:rsid w:val="00333699"/>
    <w:rsid w:val="003351C8"/>
    <w:rsid w:val="003364C0"/>
    <w:rsid w:val="00341836"/>
    <w:rsid w:val="00341956"/>
    <w:rsid w:val="00346C66"/>
    <w:rsid w:val="003471A7"/>
    <w:rsid w:val="003472EF"/>
    <w:rsid w:val="00347B8A"/>
    <w:rsid w:val="00347D07"/>
    <w:rsid w:val="00350658"/>
    <w:rsid w:val="00351A47"/>
    <w:rsid w:val="0035214B"/>
    <w:rsid w:val="00362562"/>
    <w:rsid w:val="003649B5"/>
    <w:rsid w:val="00365DDA"/>
    <w:rsid w:val="003705C4"/>
    <w:rsid w:val="00373DED"/>
    <w:rsid w:val="003822DB"/>
    <w:rsid w:val="00382F1E"/>
    <w:rsid w:val="00386050"/>
    <w:rsid w:val="003860DF"/>
    <w:rsid w:val="00386D31"/>
    <w:rsid w:val="00393EBC"/>
    <w:rsid w:val="00394A80"/>
    <w:rsid w:val="00395C7C"/>
    <w:rsid w:val="00395FB7"/>
    <w:rsid w:val="003A2223"/>
    <w:rsid w:val="003A6A83"/>
    <w:rsid w:val="003B7842"/>
    <w:rsid w:val="003C069B"/>
    <w:rsid w:val="003C34A8"/>
    <w:rsid w:val="003C4648"/>
    <w:rsid w:val="003C5FA6"/>
    <w:rsid w:val="003C70DF"/>
    <w:rsid w:val="003D0B21"/>
    <w:rsid w:val="003D6715"/>
    <w:rsid w:val="003D67AC"/>
    <w:rsid w:val="003D75DF"/>
    <w:rsid w:val="003D7D23"/>
    <w:rsid w:val="003E0879"/>
    <w:rsid w:val="003E3F05"/>
    <w:rsid w:val="003E5798"/>
    <w:rsid w:val="003E6C57"/>
    <w:rsid w:val="003E78F6"/>
    <w:rsid w:val="003E7E8E"/>
    <w:rsid w:val="003F2266"/>
    <w:rsid w:val="003F4E64"/>
    <w:rsid w:val="003F5074"/>
    <w:rsid w:val="003F59E0"/>
    <w:rsid w:val="0040007C"/>
    <w:rsid w:val="0040067A"/>
    <w:rsid w:val="00400E78"/>
    <w:rsid w:val="00400FF5"/>
    <w:rsid w:val="00402A06"/>
    <w:rsid w:val="0040402C"/>
    <w:rsid w:val="004078AA"/>
    <w:rsid w:val="004143AD"/>
    <w:rsid w:val="00414C46"/>
    <w:rsid w:val="00417730"/>
    <w:rsid w:val="00417C62"/>
    <w:rsid w:val="0042265D"/>
    <w:rsid w:val="004264DD"/>
    <w:rsid w:val="00426E38"/>
    <w:rsid w:val="00426EAD"/>
    <w:rsid w:val="004305EE"/>
    <w:rsid w:val="00431703"/>
    <w:rsid w:val="00431A72"/>
    <w:rsid w:val="00432616"/>
    <w:rsid w:val="004345E8"/>
    <w:rsid w:val="00436CFA"/>
    <w:rsid w:val="0043777F"/>
    <w:rsid w:val="0044161A"/>
    <w:rsid w:val="0044179D"/>
    <w:rsid w:val="0044462E"/>
    <w:rsid w:val="00445127"/>
    <w:rsid w:val="00446C09"/>
    <w:rsid w:val="00450523"/>
    <w:rsid w:val="00451B7E"/>
    <w:rsid w:val="004520C7"/>
    <w:rsid w:val="00454A46"/>
    <w:rsid w:val="0045527D"/>
    <w:rsid w:val="0046051B"/>
    <w:rsid w:val="004613EC"/>
    <w:rsid w:val="00465FE4"/>
    <w:rsid w:val="00467AA6"/>
    <w:rsid w:val="00470FEE"/>
    <w:rsid w:val="00475277"/>
    <w:rsid w:val="004752E0"/>
    <w:rsid w:val="00483842"/>
    <w:rsid w:val="00491C4D"/>
    <w:rsid w:val="00491F83"/>
    <w:rsid w:val="00493E5C"/>
    <w:rsid w:val="004974BA"/>
    <w:rsid w:val="004A322A"/>
    <w:rsid w:val="004A6919"/>
    <w:rsid w:val="004A6D07"/>
    <w:rsid w:val="004B1129"/>
    <w:rsid w:val="004B1159"/>
    <w:rsid w:val="004B40C4"/>
    <w:rsid w:val="004B4F0C"/>
    <w:rsid w:val="004B56EE"/>
    <w:rsid w:val="004C415C"/>
    <w:rsid w:val="004C54EB"/>
    <w:rsid w:val="004D30E2"/>
    <w:rsid w:val="004D31C7"/>
    <w:rsid w:val="004D325D"/>
    <w:rsid w:val="004D4744"/>
    <w:rsid w:val="004D7013"/>
    <w:rsid w:val="004D7F50"/>
    <w:rsid w:val="004E043B"/>
    <w:rsid w:val="004E083B"/>
    <w:rsid w:val="004E14D6"/>
    <w:rsid w:val="004E2B8A"/>
    <w:rsid w:val="004E7717"/>
    <w:rsid w:val="004F4F0B"/>
    <w:rsid w:val="004F6956"/>
    <w:rsid w:val="00510D70"/>
    <w:rsid w:val="00514278"/>
    <w:rsid w:val="0051724A"/>
    <w:rsid w:val="00525180"/>
    <w:rsid w:val="0052589D"/>
    <w:rsid w:val="00527296"/>
    <w:rsid w:val="00531277"/>
    <w:rsid w:val="00531B8A"/>
    <w:rsid w:val="00536C34"/>
    <w:rsid w:val="0054677E"/>
    <w:rsid w:val="00546804"/>
    <w:rsid w:val="005477FE"/>
    <w:rsid w:val="00551FEA"/>
    <w:rsid w:val="005629B6"/>
    <w:rsid w:val="00566A54"/>
    <w:rsid w:val="00567C85"/>
    <w:rsid w:val="00567D91"/>
    <w:rsid w:val="00571648"/>
    <w:rsid w:val="00573A53"/>
    <w:rsid w:val="00574B4F"/>
    <w:rsid w:val="00575882"/>
    <w:rsid w:val="00577421"/>
    <w:rsid w:val="005777EE"/>
    <w:rsid w:val="00582CB3"/>
    <w:rsid w:val="00592732"/>
    <w:rsid w:val="005935C0"/>
    <w:rsid w:val="00593F9E"/>
    <w:rsid w:val="00594F5A"/>
    <w:rsid w:val="0059606A"/>
    <w:rsid w:val="00596434"/>
    <w:rsid w:val="005972F4"/>
    <w:rsid w:val="005A24F3"/>
    <w:rsid w:val="005A7F6A"/>
    <w:rsid w:val="005B0B55"/>
    <w:rsid w:val="005B2646"/>
    <w:rsid w:val="005B34BB"/>
    <w:rsid w:val="005B4026"/>
    <w:rsid w:val="005B4F8B"/>
    <w:rsid w:val="005B7735"/>
    <w:rsid w:val="005C26FB"/>
    <w:rsid w:val="005C5C33"/>
    <w:rsid w:val="005D16EE"/>
    <w:rsid w:val="005D1F4E"/>
    <w:rsid w:val="005D30E9"/>
    <w:rsid w:val="005D4DE4"/>
    <w:rsid w:val="005D5CB1"/>
    <w:rsid w:val="005D5FF1"/>
    <w:rsid w:val="005D658C"/>
    <w:rsid w:val="005E1B68"/>
    <w:rsid w:val="005E1BF2"/>
    <w:rsid w:val="005E59EB"/>
    <w:rsid w:val="005E68A5"/>
    <w:rsid w:val="005E7454"/>
    <w:rsid w:val="005F0BA9"/>
    <w:rsid w:val="005F15D7"/>
    <w:rsid w:val="006007E0"/>
    <w:rsid w:val="006007FE"/>
    <w:rsid w:val="00607D1B"/>
    <w:rsid w:val="006101C6"/>
    <w:rsid w:val="006118A6"/>
    <w:rsid w:val="00611F18"/>
    <w:rsid w:val="0061370C"/>
    <w:rsid w:val="0061604D"/>
    <w:rsid w:val="00621D82"/>
    <w:rsid w:val="006236A5"/>
    <w:rsid w:val="00623E17"/>
    <w:rsid w:val="00625EFD"/>
    <w:rsid w:val="006265E9"/>
    <w:rsid w:val="006278A4"/>
    <w:rsid w:val="006308C0"/>
    <w:rsid w:val="00631E25"/>
    <w:rsid w:val="00631E70"/>
    <w:rsid w:val="0063239E"/>
    <w:rsid w:val="006416B9"/>
    <w:rsid w:val="006420F4"/>
    <w:rsid w:val="006436F1"/>
    <w:rsid w:val="006457AE"/>
    <w:rsid w:val="00646DAF"/>
    <w:rsid w:val="00647087"/>
    <w:rsid w:val="00647A94"/>
    <w:rsid w:val="00647F7C"/>
    <w:rsid w:val="006501F7"/>
    <w:rsid w:val="00650A20"/>
    <w:rsid w:val="0065155E"/>
    <w:rsid w:val="00652B76"/>
    <w:rsid w:val="00653789"/>
    <w:rsid w:val="006544CF"/>
    <w:rsid w:val="00657A78"/>
    <w:rsid w:val="00662B96"/>
    <w:rsid w:val="006631A2"/>
    <w:rsid w:val="00670934"/>
    <w:rsid w:val="006714A1"/>
    <w:rsid w:val="00675B08"/>
    <w:rsid w:val="006775AD"/>
    <w:rsid w:val="0067767E"/>
    <w:rsid w:val="00685128"/>
    <w:rsid w:val="00685B5D"/>
    <w:rsid w:val="00692A3D"/>
    <w:rsid w:val="0069348C"/>
    <w:rsid w:val="006967FB"/>
    <w:rsid w:val="006A0B6A"/>
    <w:rsid w:val="006A1725"/>
    <w:rsid w:val="006A39CC"/>
    <w:rsid w:val="006A4628"/>
    <w:rsid w:val="006A47C6"/>
    <w:rsid w:val="006A6F51"/>
    <w:rsid w:val="006A7278"/>
    <w:rsid w:val="006B091E"/>
    <w:rsid w:val="006B1ACF"/>
    <w:rsid w:val="006B6475"/>
    <w:rsid w:val="006C172B"/>
    <w:rsid w:val="006C1802"/>
    <w:rsid w:val="006C786D"/>
    <w:rsid w:val="006D016E"/>
    <w:rsid w:val="006D01AD"/>
    <w:rsid w:val="006D1DA0"/>
    <w:rsid w:val="006D45F8"/>
    <w:rsid w:val="006D4A0E"/>
    <w:rsid w:val="006D5165"/>
    <w:rsid w:val="006E0DFE"/>
    <w:rsid w:val="006E2F75"/>
    <w:rsid w:val="006E36FD"/>
    <w:rsid w:val="006E4148"/>
    <w:rsid w:val="006E4529"/>
    <w:rsid w:val="006E60B3"/>
    <w:rsid w:val="006E752F"/>
    <w:rsid w:val="006F0FC8"/>
    <w:rsid w:val="006F360F"/>
    <w:rsid w:val="006F640C"/>
    <w:rsid w:val="006F7E2F"/>
    <w:rsid w:val="0070225B"/>
    <w:rsid w:val="007047B7"/>
    <w:rsid w:val="00707B33"/>
    <w:rsid w:val="007109D3"/>
    <w:rsid w:val="007123CF"/>
    <w:rsid w:val="0071484D"/>
    <w:rsid w:val="00716F8B"/>
    <w:rsid w:val="00720404"/>
    <w:rsid w:val="00721083"/>
    <w:rsid w:val="0072253F"/>
    <w:rsid w:val="00723938"/>
    <w:rsid w:val="00726AD6"/>
    <w:rsid w:val="0072764A"/>
    <w:rsid w:val="0073271F"/>
    <w:rsid w:val="007330CE"/>
    <w:rsid w:val="00734AB0"/>
    <w:rsid w:val="00735E4F"/>
    <w:rsid w:val="007369E4"/>
    <w:rsid w:val="00742392"/>
    <w:rsid w:val="00744371"/>
    <w:rsid w:val="00747ACF"/>
    <w:rsid w:val="007510BB"/>
    <w:rsid w:val="00752438"/>
    <w:rsid w:val="00752BCA"/>
    <w:rsid w:val="007530AF"/>
    <w:rsid w:val="00762F19"/>
    <w:rsid w:val="00763E44"/>
    <w:rsid w:val="00764E64"/>
    <w:rsid w:val="00771E26"/>
    <w:rsid w:val="00771E6A"/>
    <w:rsid w:val="00772539"/>
    <w:rsid w:val="00772DFA"/>
    <w:rsid w:val="007750C9"/>
    <w:rsid w:val="00776BEC"/>
    <w:rsid w:val="00777D04"/>
    <w:rsid w:val="007832F9"/>
    <w:rsid w:val="00784D33"/>
    <w:rsid w:val="0078550D"/>
    <w:rsid w:val="00786059"/>
    <w:rsid w:val="00790CDB"/>
    <w:rsid w:val="00790CEF"/>
    <w:rsid w:val="0079210D"/>
    <w:rsid w:val="00794E6F"/>
    <w:rsid w:val="00794FE1"/>
    <w:rsid w:val="00796393"/>
    <w:rsid w:val="00796759"/>
    <w:rsid w:val="007A08D5"/>
    <w:rsid w:val="007A3892"/>
    <w:rsid w:val="007B01AD"/>
    <w:rsid w:val="007B053F"/>
    <w:rsid w:val="007B1216"/>
    <w:rsid w:val="007B1B2D"/>
    <w:rsid w:val="007B1D5A"/>
    <w:rsid w:val="007B3C52"/>
    <w:rsid w:val="007B6298"/>
    <w:rsid w:val="007B68E8"/>
    <w:rsid w:val="007B6F16"/>
    <w:rsid w:val="007B7C7F"/>
    <w:rsid w:val="007B7D07"/>
    <w:rsid w:val="007C2AC5"/>
    <w:rsid w:val="007C3B83"/>
    <w:rsid w:val="007C593D"/>
    <w:rsid w:val="007C7B38"/>
    <w:rsid w:val="007D0DE7"/>
    <w:rsid w:val="007D4FFD"/>
    <w:rsid w:val="007D5A29"/>
    <w:rsid w:val="007E5330"/>
    <w:rsid w:val="007E5CA1"/>
    <w:rsid w:val="007E5E05"/>
    <w:rsid w:val="007E7EA8"/>
    <w:rsid w:val="007F0C47"/>
    <w:rsid w:val="007F1DD9"/>
    <w:rsid w:val="007F207C"/>
    <w:rsid w:val="007F4626"/>
    <w:rsid w:val="007F4C88"/>
    <w:rsid w:val="007F7421"/>
    <w:rsid w:val="007F75A4"/>
    <w:rsid w:val="00800839"/>
    <w:rsid w:val="00802A56"/>
    <w:rsid w:val="00804C17"/>
    <w:rsid w:val="00805AAB"/>
    <w:rsid w:val="00810866"/>
    <w:rsid w:val="00810B12"/>
    <w:rsid w:val="008206C7"/>
    <w:rsid w:val="008208ED"/>
    <w:rsid w:val="0083071D"/>
    <w:rsid w:val="00831847"/>
    <w:rsid w:val="00831ED9"/>
    <w:rsid w:val="008331FD"/>
    <w:rsid w:val="00835CA6"/>
    <w:rsid w:val="00837377"/>
    <w:rsid w:val="0084084F"/>
    <w:rsid w:val="00841090"/>
    <w:rsid w:val="008430A8"/>
    <w:rsid w:val="00850313"/>
    <w:rsid w:val="0085216F"/>
    <w:rsid w:val="0085575E"/>
    <w:rsid w:val="0085760E"/>
    <w:rsid w:val="008601DE"/>
    <w:rsid w:val="00861489"/>
    <w:rsid w:val="00861A85"/>
    <w:rsid w:val="00862BB3"/>
    <w:rsid w:val="00863D3D"/>
    <w:rsid w:val="0086448C"/>
    <w:rsid w:val="008649BF"/>
    <w:rsid w:val="00866B9C"/>
    <w:rsid w:val="00871A35"/>
    <w:rsid w:val="00872FAE"/>
    <w:rsid w:val="0087321E"/>
    <w:rsid w:val="00876E87"/>
    <w:rsid w:val="008804A9"/>
    <w:rsid w:val="008823E5"/>
    <w:rsid w:val="00884E23"/>
    <w:rsid w:val="00885EB7"/>
    <w:rsid w:val="008937FA"/>
    <w:rsid w:val="00893958"/>
    <w:rsid w:val="00894348"/>
    <w:rsid w:val="008965D3"/>
    <w:rsid w:val="0089682E"/>
    <w:rsid w:val="00896E4A"/>
    <w:rsid w:val="00897A27"/>
    <w:rsid w:val="008A09DE"/>
    <w:rsid w:val="008A1113"/>
    <w:rsid w:val="008A33D7"/>
    <w:rsid w:val="008A363C"/>
    <w:rsid w:val="008A60BD"/>
    <w:rsid w:val="008B14C5"/>
    <w:rsid w:val="008B3393"/>
    <w:rsid w:val="008B3B45"/>
    <w:rsid w:val="008B5110"/>
    <w:rsid w:val="008B6F54"/>
    <w:rsid w:val="008C3DBA"/>
    <w:rsid w:val="008D05A0"/>
    <w:rsid w:val="008D74B8"/>
    <w:rsid w:val="008E14C9"/>
    <w:rsid w:val="008E7291"/>
    <w:rsid w:val="008E7B46"/>
    <w:rsid w:val="008E7EE7"/>
    <w:rsid w:val="008F20D9"/>
    <w:rsid w:val="008F280E"/>
    <w:rsid w:val="008F31E8"/>
    <w:rsid w:val="008F368C"/>
    <w:rsid w:val="008F55BB"/>
    <w:rsid w:val="008F5FFD"/>
    <w:rsid w:val="008F643E"/>
    <w:rsid w:val="008F6EE3"/>
    <w:rsid w:val="008F7BB2"/>
    <w:rsid w:val="00900173"/>
    <w:rsid w:val="009017AB"/>
    <w:rsid w:val="00904780"/>
    <w:rsid w:val="00910614"/>
    <w:rsid w:val="009127D4"/>
    <w:rsid w:val="00912E50"/>
    <w:rsid w:val="00912E73"/>
    <w:rsid w:val="00913107"/>
    <w:rsid w:val="009136E4"/>
    <w:rsid w:val="00913993"/>
    <w:rsid w:val="00921067"/>
    <w:rsid w:val="0092243A"/>
    <w:rsid w:val="00924BF9"/>
    <w:rsid w:val="009279A9"/>
    <w:rsid w:val="0093497E"/>
    <w:rsid w:val="00937C12"/>
    <w:rsid w:val="00941E0B"/>
    <w:rsid w:val="00945A13"/>
    <w:rsid w:val="00945DF4"/>
    <w:rsid w:val="00947AEE"/>
    <w:rsid w:val="009523B0"/>
    <w:rsid w:val="009524F7"/>
    <w:rsid w:val="0095570C"/>
    <w:rsid w:val="00957D9E"/>
    <w:rsid w:val="00963846"/>
    <w:rsid w:val="00971A7F"/>
    <w:rsid w:val="0097289B"/>
    <w:rsid w:val="00973584"/>
    <w:rsid w:val="00973CA3"/>
    <w:rsid w:val="00974DA0"/>
    <w:rsid w:val="0097535F"/>
    <w:rsid w:val="00977836"/>
    <w:rsid w:val="00980DFE"/>
    <w:rsid w:val="00983EDE"/>
    <w:rsid w:val="00990CE9"/>
    <w:rsid w:val="00990EDC"/>
    <w:rsid w:val="00992254"/>
    <w:rsid w:val="0099593D"/>
    <w:rsid w:val="009A1AAA"/>
    <w:rsid w:val="009A39EE"/>
    <w:rsid w:val="009A3B03"/>
    <w:rsid w:val="009B00C8"/>
    <w:rsid w:val="009B055D"/>
    <w:rsid w:val="009B08FF"/>
    <w:rsid w:val="009B12E1"/>
    <w:rsid w:val="009B4FE7"/>
    <w:rsid w:val="009C1206"/>
    <w:rsid w:val="009C2B63"/>
    <w:rsid w:val="009C42F6"/>
    <w:rsid w:val="009C5D24"/>
    <w:rsid w:val="009C7AFE"/>
    <w:rsid w:val="009D02E4"/>
    <w:rsid w:val="009D1695"/>
    <w:rsid w:val="009D24F0"/>
    <w:rsid w:val="009D716B"/>
    <w:rsid w:val="009E6ACB"/>
    <w:rsid w:val="009F650D"/>
    <w:rsid w:val="009F6692"/>
    <w:rsid w:val="00A008B2"/>
    <w:rsid w:val="00A0349E"/>
    <w:rsid w:val="00A0397C"/>
    <w:rsid w:val="00A06670"/>
    <w:rsid w:val="00A07297"/>
    <w:rsid w:val="00A0754B"/>
    <w:rsid w:val="00A07AA8"/>
    <w:rsid w:val="00A11B69"/>
    <w:rsid w:val="00A12BF5"/>
    <w:rsid w:val="00A13D24"/>
    <w:rsid w:val="00A14109"/>
    <w:rsid w:val="00A14487"/>
    <w:rsid w:val="00A15B3D"/>
    <w:rsid w:val="00A16850"/>
    <w:rsid w:val="00A17DA0"/>
    <w:rsid w:val="00A22D83"/>
    <w:rsid w:val="00A23EBA"/>
    <w:rsid w:val="00A24933"/>
    <w:rsid w:val="00A26CD0"/>
    <w:rsid w:val="00A30321"/>
    <w:rsid w:val="00A30817"/>
    <w:rsid w:val="00A314EC"/>
    <w:rsid w:val="00A35B1C"/>
    <w:rsid w:val="00A36185"/>
    <w:rsid w:val="00A41E6F"/>
    <w:rsid w:val="00A51B91"/>
    <w:rsid w:val="00A53F39"/>
    <w:rsid w:val="00A5660B"/>
    <w:rsid w:val="00A60DFB"/>
    <w:rsid w:val="00A62361"/>
    <w:rsid w:val="00A6236D"/>
    <w:rsid w:val="00A6252C"/>
    <w:rsid w:val="00A62F95"/>
    <w:rsid w:val="00A63834"/>
    <w:rsid w:val="00A665C5"/>
    <w:rsid w:val="00A66E91"/>
    <w:rsid w:val="00A72FCA"/>
    <w:rsid w:val="00A73EA7"/>
    <w:rsid w:val="00A805E9"/>
    <w:rsid w:val="00A807F3"/>
    <w:rsid w:val="00A82305"/>
    <w:rsid w:val="00A87A3A"/>
    <w:rsid w:val="00A90017"/>
    <w:rsid w:val="00A90910"/>
    <w:rsid w:val="00A928AB"/>
    <w:rsid w:val="00A94D6E"/>
    <w:rsid w:val="00AA0B79"/>
    <w:rsid w:val="00AA1754"/>
    <w:rsid w:val="00AA2F77"/>
    <w:rsid w:val="00AA3851"/>
    <w:rsid w:val="00AA3893"/>
    <w:rsid w:val="00AA5EA7"/>
    <w:rsid w:val="00AA600C"/>
    <w:rsid w:val="00AA60F4"/>
    <w:rsid w:val="00AA7075"/>
    <w:rsid w:val="00AB62B7"/>
    <w:rsid w:val="00AC0BB9"/>
    <w:rsid w:val="00AC0BD0"/>
    <w:rsid w:val="00AC4A71"/>
    <w:rsid w:val="00AC53F3"/>
    <w:rsid w:val="00AC5484"/>
    <w:rsid w:val="00AC6CB4"/>
    <w:rsid w:val="00AC7650"/>
    <w:rsid w:val="00AD0EAB"/>
    <w:rsid w:val="00AD2A92"/>
    <w:rsid w:val="00AD716D"/>
    <w:rsid w:val="00AD75DC"/>
    <w:rsid w:val="00AE0255"/>
    <w:rsid w:val="00AE0E66"/>
    <w:rsid w:val="00AE19CA"/>
    <w:rsid w:val="00AE5955"/>
    <w:rsid w:val="00AE6557"/>
    <w:rsid w:val="00AE784B"/>
    <w:rsid w:val="00AF091F"/>
    <w:rsid w:val="00AF31A3"/>
    <w:rsid w:val="00AF607A"/>
    <w:rsid w:val="00AF6377"/>
    <w:rsid w:val="00AF6660"/>
    <w:rsid w:val="00B02AFE"/>
    <w:rsid w:val="00B041F7"/>
    <w:rsid w:val="00B04586"/>
    <w:rsid w:val="00B102F9"/>
    <w:rsid w:val="00B1230E"/>
    <w:rsid w:val="00B12660"/>
    <w:rsid w:val="00B1493C"/>
    <w:rsid w:val="00B16BD8"/>
    <w:rsid w:val="00B20DA6"/>
    <w:rsid w:val="00B21A65"/>
    <w:rsid w:val="00B222B4"/>
    <w:rsid w:val="00B2242A"/>
    <w:rsid w:val="00B22E04"/>
    <w:rsid w:val="00B2628A"/>
    <w:rsid w:val="00B30EEB"/>
    <w:rsid w:val="00B31721"/>
    <w:rsid w:val="00B3191C"/>
    <w:rsid w:val="00B31F7E"/>
    <w:rsid w:val="00B3300A"/>
    <w:rsid w:val="00B34186"/>
    <w:rsid w:val="00B379B5"/>
    <w:rsid w:val="00B43231"/>
    <w:rsid w:val="00B437E2"/>
    <w:rsid w:val="00B553E8"/>
    <w:rsid w:val="00B564AA"/>
    <w:rsid w:val="00B57EEC"/>
    <w:rsid w:val="00B74339"/>
    <w:rsid w:val="00B752B1"/>
    <w:rsid w:val="00B75857"/>
    <w:rsid w:val="00B7692B"/>
    <w:rsid w:val="00B77827"/>
    <w:rsid w:val="00B80C5F"/>
    <w:rsid w:val="00B8403F"/>
    <w:rsid w:val="00B84754"/>
    <w:rsid w:val="00B853B5"/>
    <w:rsid w:val="00B925DD"/>
    <w:rsid w:val="00BA1C8B"/>
    <w:rsid w:val="00BA6662"/>
    <w:rsid w:val="00BB01C2"/>
    <w:rsid w:val="00BB18F0"/>
    <w:rsid w:val="00BB2A1A"/>
    <w:rsid w:val="00BB5599"/>
    <w:rsid w:val="00BB58D9"/>
    <w:rsid w:val="00BC0BBC"/>
    <w:rsid w:val="00BC19FC"/>
    <w:rsid w:val="00BC449E"/>
    <w:rsid w:val="00BD36E7"/>
    <w:rsid w:val="00BD3919"/>
    <w:rsid w:val="00BD3EE5"/>
    <w:rsid w:val="00BD5305"/>
    <w:rsid w:val="00BE4343"/>
    <w:rsid w:val="00BE6130"/>
    <w:rsid w:val="00BE6542"/>
    <w:rsid w:val="00BE69E5"/>
    <w:rsid w:val="00BF02C6"/>
    <w:rsid w:val="00BF0852"/>
    <w:rsid w:val="00BF1D3C"/>
    <w:rsid w:val="00BF34E0"/>
    <w:rsid w:val="00BF4441"/>
    <w:rsid w:val="00BF76F1"/>
    <w:rsid w:val="00C0158D"/>
    <w:rsid w:val="00C07F10"/>
    <w:rsid w:val="00C10E58"/>
    <w:rsid w:val="00C13D5F"/>
    <w:rsid w:val="00C1509A"/>
    <w:rsid w:val="00C16354"/>
    <w:rsid w:val="00C22A9B"/>
    <w:rsid w:val="00C22CC3"/>
    <w:rsid w:val="00C24C3F"/>
    <w:rsid w:val="00C25278"/>
    <w:rsid w:val="00C25F5C"/>
    <w:rsid w:val="00C274AA"/>
    <w:rsid w:val="00C303A2"/>
    <w:rsid w:val="00C3191D"/>
    <w:rsid w:val="00C32569"/>
    <w:rsid w:val="00C340E2"/>
    <w:rsid w:val="00C352F4"/>
    <w:rsid w:val="00C366A7"/>
    <w:rsid w:val="00C36778"/>
    <w:rsid w:val="00C3705F"/>
    <w:rsid w:val="00C3752F"/>
    <w:rsid w:val="00C406F6"/>
    <w:rsid w:val="00C42540"/>
    <w:rsid w:val="00C43385"/>
    <w:rsid w:val="00C479FB"/>
    <w:rsid w:val="00C52C12"/>
    <w:rsid w:val="00C5456A"/>
    <w:rsid w:val="00C65876"/>
    <w:rsid w:val="00C6654F"/>
    <w:rsid w:val="00C7304C"/>
    <w:rsid w:val="00C809CB"/>
    <w:rsid w:val="00C82BDC"/>
    <w:rsid w:val="00C82EA9"/>
    <w:rsid w:val="00C83549"/>
    <w:rsid w:val="00C8431A"/>
    <w:rsid w:val="00C90148"/>
    <w:rsid w:val="00C915CC"/>
    <w:rsid w:val="00C93CEB"/>
    <w:rsid w:val="00CA2E68"/>
    <w:rsid w:val="00CA375F"/>
    <w:rsid w:val="00CA4C64"/>
    <w:rsid w:val="00CA6DAC"/>
    <w:rsid w:val="00CB304B"/>
    <w:rsid w:val="00CB6BE1"/>
    <w:rsid w:val="00CB74DC"/>
    <w:rsid w:val="00CC5B8E"/>
    <w:rsid w:val="00CC5FCF"/>
    <w:rsid w:val="00CC7B65"/>
    <w:rsid w:val="00CD02A6"/>
    <w:rsid w:val="00CD1E75"/>
    <w:rsid w:val="00CD47C8"/>
    <w:rsid w:val="00CD4EE5"/>
    <w:rsid w:val="00CD51A7"/>
    <w:rsid w:val="00CD53F6"/>
    <w:rsid w:val="00CD72C1"/>
    <w:rsid w:val="00CE0EC1"/>
    <w:rsid w:val="00CF02EB"/>
    <w:rsid w:val="00CF2614"/>
    <w:rsid w:val="00CF3C36"/>
    <w:rsid w:val="00CF4F79"/>
    <w:rsid w:val="00CF6607"/>
    <w:rsid w:val="00D00C7D"/>
    <w:rsid w:val="00D025B3"/>
    <w:rsid w:val="00D02D54"/>
    <w:rsid w:val="00D0798E"/>
    <w:rsid w:val="00D13A48"/>
    <w:rsid w:val="00D26C8B"/>
    <w:rsid w:val="00D30AE6"/>
    <w:rsid w:val="00D30EF7"/>
    <w:rsid w:val="00D31173"/>
    <w:rsid w:val="00D332A6"/>
    <w:rsid w:val="00D35708"/>
    <w:rsid w:val="00D369AD"/>
    <w:rsid w:val="00D37E3A"/>
    <w:rsid w:val="00D37FB9"/>
    <w:rsid w:val="00D40231"/>
    <w:rsid w:val="00D430E0"/>
    <w:rsid w:val="00D4458E"/>
    <w:rsid w:val="00D4654D"/>
    <w:rsid w:val="00D57DA3"/>
    <w:rsid w:val="00D57F9A"/>
    <w:rsid w:val="00D66BFD"/>
    <w:rsid w:val="00D70D4B"/>
    <w:rsid w:val="00D71BF2"/>
    <w:rsid w:val="00D76C42"/>
    <w:rsid w:val="00D7720F"/>
    <w:rsid w:val="00D80A85"/>
    <w:rsid w:val="00D83668"/>
    <w:rsid w:val="00D849C8"/>
    <w:rsid w:val="00D84D43"/>
    <w:rsid w:val="00D86614"/>
    <w:rsid w:val="00D869F8"/>
    <w:rsid w:val="00D8742A"/>
    <w:rsid w:val="00D8763E"/>
    <w:rsid w:val="00D87966"/>
    <w:rsid w:val="00D902FE"/>
    <w:rsid w:val="00D92544"/>
    <w:rsid w:val="00D93E8E"/>
    <w:rsid w:val="00DA5F6A"/>
    <w:rsid w:val="00DA609B"/>
    <w:rsid w:val="00DA6C87"/>
    <w:rsid w:val="00DB182E"/>
    <w:rsid w:val="00DB387D"/>
    <w:rsid w:val="00DC0843"/>
    <w:rsid w:val="00DC3B70"/>
    <w:rsid w:val="00DC3C2F"/>
    <w:rsid w:val="00DC3F7C"/>
    <w:rsid w:val="00DC51DA"/>
    <w:rsid w:val="00DC5861"/>
    <w:rsid w:val="00DC6131"/>
    <w:rsid w:val="00DC6143"/>
    <w:rsid w:val="00DC7A91"/>
    <w:rsid w:val="00DC7ED6"/>
    <w:rsid w:val="00DD19A6"/>
    <w:rsid w:val="00DD2B8E"/>
    <w:rsid w:val="00DD5CCB"/>
    <w:rsid w:val="00DD76AF"/>
    <w:rsid w:val="00DE1AF6"/>
    <w:rsid w:val="00DF09A6"/>
    <w:rsid w:val="00DF3322"/>
    <w:rsid w:val="00DF4B6B"/>
    <w:rsid w:val="00DF5AB3"/>
    <w:rsid w:val="00DF62C4"/>
    <w:rsid w:val="00DF7196"/>
    <w:rsid w:val="00DF7509"/>
    <w:rsid w:val="00E01999"/>
    <w:rsid w:val="00E0204B"/>
    <w:rsid w:val="00E03DEA"/>
    <w:rsid w:val="00E06060"/>
    <w:rsid w:val="00E060E5"/>
    <w:rsid w:val="00E06B06"/>
    <w:rsid w:val="00E1138C"/>
    <w:rsid w:val="00E13BEC"/>
    <w:rsid w:val="00E146F0"/>
    <w:rsid w:val="00E16636"/>
    <w:rsid w:val="00E17274"/>
    <w:rsid w:val="00E17EF1"/>
    <w:rsid w:val="00E25D7A"/>
    <w:rsid w:val="00E27176"/>
    <w:rsid w:val="00E27AB4"/>
    <w:rsid w:val="00E3204F"/>
    <w:rsid w:val="00E329C4"/>
    <w:rsid w:val="00E358F9"/>
    <w:rsid w:val="00E40C2A"/>
    <w:rsid w:val="00E43AB8"/>
    <w:rsid w:val="00E43CC7"/>
    <w:rsid w:val="00E475FA"/>
    <w:rsid w:val="00E47AF8"/>
    <w:rsid w:val="00E47B3C"/>
    <w:rsid w:val="00E52125"/>
    <w:rsid w:val="00E52FBB"/>
    <w:rsid w:val="00E61B63"/>
    <w:rsid w:val="00E640EE"/>
    <w:rsid w:val="00E70064"/>
    <w:rsid w:val="00E7028A"/>
    <w:rsid w:val="00E707A1"/>
    <w:rsid w:val="00E7189C"/>
    <w:rsid w:val="00E760B8"/>
    <w:rsid w:val="00E809D6"/>
    <w:rsid w:val="00E80A05"/>
    <w:rsid w:val="00E82D50"/>
    <w:rsid w:val="00E8630E"/>
    <w:rsid w:val="00E865F7"/>
    <w:rsid w:val="00E87CF8"/>
    <w:rsid w:val="00E87F73"/>
    <w:rsid w:val="00E9148C"/>
    <w:rsid w:val="00E91842"/>
    <w:rsid w:val="00E964DD"/>
    <w:rsid w:val="00E978A2"/>
    <w:rsid w:val="00EA27AB"/>
    <w:rsid w:val="00EA3956"/>
    <w:rsid w:val="00EA4298"/>
    <w:rsid w:val="00EA433B"/>
    <w:rsid w:val="00EA5050"/>
    <w:rsid w:val="00EA5D65"/>
    <w:rsid w:val="00EA639B"/>
    <w:rsid w:val="00EA66EF"/>
    <w:rsid w:val="00EA6DB4"/>
    <w:rsid w:val="00EB1F68"/>
    <w:rsid w:val="00EB5346"/>
    <w:rsid w:val="00EB54F0"/>
    <w:rsid w:val="00EB56CD"/>
    <w:rsid w:val="00EB59FB"/>
    <w:rsid w:val="00EB7434"/>
    <w:rsid w:val="00EB7FF3"/>
    <w:rsid w:val="00EC2955"/>
    <w:rsid w:val="00EC5D49"/>
    <w:rsid w:val="00EC730E"/>
    <w:rsid w:val="00ED156F"/>
    <w:rsid w:val="00ED206E"/>
    <w:rsid w:val="00ED43AE"/>
    <w:rsid w:val="00ED6E6F"/>
    <w:rsid w:val="00EE222F"/>
    <w:rsid w:val="00EE29B9"/>
    <w:rsid w:val="00EE590A"/>
    <w:rsid w:val="00EF0E7D"/>
    <w:rsid w:val="00EF64F3"/>
    <w:rsid w:val="00F06FFE"/>
    <w:rsid w:val="00F10B2C"/>
    <w:rsid w:val="00F112BA"/>
    <w:rsid w:val="00F14BDA"/>
    <w:rsid w:val="00F14CDD"/>
    <w:rsid w:val="00F1675B"/>
    <w:rsid w:val="00F178E4"/>
    <w:rsid w:val="00F228A7"/>
    <w:rsid w:val="00F2595A"/>
    <w:rsid w:val="00F265EC"/>
    <w:rsid w:val="00F2693A"/>
    <w:rsid w:val="00F276CC"/>
    <w:rsid w:val="00F27994"/>
    <w:rsid w:val="00F35BF9"/>
    <w:rsid w:val="00F366FC"/>
    <w:rsid w:val="00F41561"/>
    <w:rsid w:val="00F446B5"/>
    <w:rsid w:val="00F44F9F"/>
    <w:rsid w:val="00F61A19"/>
    <w:rsid w:val="00F62442"/>
    <w:rsid w:val="00F62EA8"/>
    <w:rsid w:val="00F64553"/>
    <w:rsid w:val="00F71E42"/>
    <w:rsid w:val="00F75553"/>
    <w:rsid w:val="00F76C56"/>
    <w:rsid w:val="00F76F8D"/>
    <w:rsid w:val="00F77D00"/>
    <w:rsid w:val="00F81678"/>
    <w:rsid w:val="00F900A2"/>
    <w:rsid w:val="00F9145D"/>
    <w:rsid w:val="00F91FF0"/>
    <w:rsid w:val="00F95531"/>
    <w:rsid w:val="00F966E2"/>
    <w:rsid w:val="00FA0424"/>
    <w:rsid w:val="00FA0527"/>
    <w:rsid w:val="00FA075D"/>
    <w:rsid w:val="00FA1AA7"/>
    <w:rsid w:val="00FA43E6"/>
    <w:rsid w:val="00FA4B40"/>
    <w:rsid w:val="00FB0ACF"/>
    <w:rsid w:val="00FB5675"/>
    <w:rsid w:val="00FB5865"/>
    <w:rsid w:val="00FB6F2E"/>
    <w:rsid w:val="00FC14DA"/>
    <w:rsid w:val="00FC5C3E"/>
    <w:rsid w:val="00FC6857"/>
    <w:rsid w:val="00FD73B0"/>
    <w:rsid w:val="00FE1FC9"/>
    <w:rsid w:val="00FE2170"/>
    <w:rsid w:val="00FE2A77"/>
    <w:rsid w:val="00FE7465"/>
    <w:rsid w:val="00FE7E05"/>
    <w:rsid w:val="00FF514E"/>
    <w:rsid w:val="00FF61EC"/>
    <w:rsid w:val="00FF6E11"/>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19078D"/>
    <w:pPr>
      <w:spacing w:before="240" w:after="0" w:line="240" w:lineRule="auto"/>
    </w:pPr>
    <w:rPr>
      <w:rFonts w:ascii="Palatino Linotype" w:eastAsia="Times New Roman" w:hAnsi="Palatino Linotype" w:cs="Times New Roman"/>
    </w:rPr>
  </w:style>
  <w:style w:type="paragraph" w:styleId="Heading1">
    <w:name w:val="heading 1"/>
    <w:basedOn w:val="Normal"/>
    <w:next w:val="Normal"/>
    <w:link w:val="Heading1Char"/>
    <w:autoRedefine/>
    <w:uiPriority w:val="2"/>
    <w:qFormat/>
    <w:rsid w:val="00F35BF9"/>
    <w:pPr>
      <w:keepNext/>
      <w:pBdr>
        <w:top w:val="single" w:sz="4" w:space="16" w:color="auto"/>
      </w:pBdr>
      <w:tabs>
        <w:tab w:val="num" w:pos="2160"/>
      </w:tabs>
      <w:spacing w:after="120"/>
      <w:outlineLvl w:val="0"/>
    </w:pPr>
    <w:rPr>
      <w:b/>
      <w:bCs/>
      <w:color w:val="4F6228" w:themeColor="accent3" w:themeShade="80"/>
      <w:sz w:val="28"/>
    </w:rPr>
  </w:style>
  <w:style w:type="paragraph" w:styleId="Heading2">
    <w:name w:val="heading 2"/>
    <w:basedOn w:val="Normal"/>
    <w:next w:val="Normal"/>
    <w:link w:val="Heading2Char"/>
    <w:uiPriority w:val="9"/>
    <w:semiHidden/>
    <w:unhideWhenUsed/>
    <w:qFormat/>
    <w:rsid w:val="00CF4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semiHidden/>
    <w:unhideWhenUsed/>
    <w:qFormat/>
    <w:rsid w:val="00E3204F"/>
    <w:pPr>
      <w:spacing w:after="120"/>
      <w:ind w:firstLine="360"/>
      <w:outlineLvl w:val="3"/>
    </w:pPr>
    <w:rPr>
      <w:rFonts w:ascii="Arial" w:hAnsi="Arial"/>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FC"/>
    <w:rPr>
      <w:rFonts w:ascii="Tahoma" w:eastAsia="Times New Roman" w:hAnsi="Tahoma" w:cs="Tahoma"/>
      <w:sz w:val="16"/>
      <w:szCs w:val="16"/>
    </w:rPr>
  </w:style>
  <w:style w:type="paragraph" w:styleId="ListParagraph">
    <w:name w:val="List Paragraph"/>
    <w:aliases w:val="List Bulet,COMESA Text 2,Standard 12 pt"/>
    <w:basedOn w:val="Normal"/>
    <w:link w:val="ListParagraphChar"/>
    <w:uiPriority w:val="34"/>
    <w:qFormat/>
    <w:rsid w:val="007B7D07"/>
    <w:pPr>
      <w:ind w:left="720"/>
      <w:contextualSpacing/>
    </w:pPr>
  </w:style>
  <w:style w:type="character" w:styleId="CommentReference">
    <w:name w:val="annotation reference"/>
    <w:basedOn w:val="DefaultParagraphFont"/>
    <w:uiPriority w:val="99"/>
    <w:semiHidden/>
    <w:unhideWhenUsed/>
    <w:rsid w:val="00A314EC"/>
    <w:rPr>
      <w:sz w:val="16"/>
      <w:szCs w:val="16"/>
    </w:rPr>
  </w:style>
  <w:style w:type="paragraph" w:styleId="CommentText">
    <w:name w:val="annotation text"/>
    <w:basedOn w:val="Normal"/>
    <w:link w:val="CommentTextChar"/>
    <w:uiPriority w:val="99"/>
    <w:semiHidden/>
    <w:unhideWhenUsed/>
    <w:rsid w:val="00A314EC"/>
    <w:rPr>
      <w:sz w:val="20"/>
      <w:szCs w:val="20"/>
    </w:rPr>
  </w:style>
  <w:style w:type="character" w:customStyle="1" w:styleId="CommentTextChar">
    <w:name w:val="Comment Text Char"/>
    <w:basedOn w:val="DefaultParagraphFont"/>
    <w:link w:val="CommentText"/>
    <w:uiPriority w:val="99"/>
    <w:semiHidden/>
    <w:rsid w:val="00A314EC"/>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314EC"/>
    <w:rPr>
      <w:b/>
      <w:bCs/>
    </w:rPr>
  </w:style>
  <w:style w:type="character" w:customStyle="1" w:styleId="CommentSubjectChar">
    <w:name w:val="Comment Subject Char"/>
    <w:basedOn w:val="CommentTextChar"/>
    <w:link w:val="CommentSubject"/>
    <w:uiPriority w:val="99"/>
    <w:semiHidden/>
    <w:rsid w:val="00A314EC"/>
    <w:rPr>
      <w:rFonts w:ascii="Palatino Linotype" w:eastAsia="Times New Roman" w:hAnsi="Palatino Linotype" w:cs="Times New Roman"/>
      <w:b/>
      <w:bCs/>
      <w:sz w:val="20"/>
      <w:szCs w:val="20"/>
    </w:rPr>
  </w:style>
  <w:style w:type="table" w:styleId="TableGrid">
    <w:name w:val="Table Grid"/>
    <w:basedOn w:val="TableNormal"/>
    <w:uiPriority w:val="59"/>
    <w:rsid w:val="000E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45D"/>
    <w:pPr>
      <w:tabs>
        <w:tab w:val="center" w:pos="4680"/>
        <w:tab w:val="right" w:pos="9360"/>
      </w:tabs>
      <w:spacing w:before="0"/>
    </w:pPr>
  </w:style>
  <w:style w:type="character" w:customStyle="1" w:styleId="HeaderChar">
    <w:name w:val="Header Char"/>
    <w:basedOn w:val="DefaultParagraphFont"/>
    <w:link w:val="Header"/>
    <w:uiPriority w:val="99"/>
    <w:rsid w:val="00F9145D"/>
    <w:rPr>
      <w:rFonts w:ascii="Palatino Linotype" w:eastAsia="Times New Roman" w:hAnsi="Palatino Linotype" w:cs="Times New Roman"/>
    </w:rPr>
  </w:style>
  <w:style w:type="paragraph" w:styleId="Footer">
    <w:name w:val="footer"/>
    <w:basedOn w:val="Normal"/>
    <w:link w:val="FooterChar"/>
    <w:uiPriority w:val="99"/>
    <w:unhideWhenUsed/>
    <w:rsid w:val="00F9145D"/>
    <w:pPr>
      <w:tabs>
        <w:tab w:val="center" w:pos="4680"/>
        <w:tab w:val="right" w:pos="9360"/>
      </w:tabs>
      <w:spacing w:before="0"/>
    </w:pPr>
  </w:style>
  <w:style w:type="character" w:customStyle="1" w:styleId="FooterChar">
    <w:name w:val="Footer Char"/>
    <w:basedOn w:val="DefaultParagraphFont"/>
    <w:link w:val="Footer"/>
    <w:uiPriority w:val="99"/>
    <w:rsid w:val="00F9145D"/>
    <w:rPr>
      <w:rFonts w:ascii="Palatino Linotype" w:eastAsia="Times New Roman" w:hAnsi="Palatino Linotype" w:cs="Times New Roman"/>
    </w:rPr>
  </w:style>
  <w:style w:type="paragraph" w:customStyle="1" w:styleId="D345FF3D873148C5AE3FBF3267827368">
    <w:name w:val="D345FF3D873148C5AE3FBF3267827368"/>
    <w:rsid w:val="00F9145D"/>
    <w:rPr>
      <w:rFonts w:eastAsiaTheme="minorEastAsia"/>
      <w:lang w:eastAsia="ja-JP"/>
    </w:rPr>
  </w:style>
  <w:style w:type="character" w:customStyle="1" w:styleId="Heading1Char">
    <w:name w:val="Heading 1 Char"/>
    <w:basedOn w:val="DefaultParagraphFont"/>
    <w:link w:val="Heading1"/>
    <w:uiPriority w:val="2"/>
    <w:rsid w:val="00F35BF9"/>
    <w:rPr>
      <w:rFonts w:ascii="Palatino Linotype" w:eastAsia="Times New Roman" w:hAnsi="Palatino Linotype" w:cs="Times New Roman"/>
      <w:b/>
      <w:bCs/>
      <w:color w:val="4F6228" w:themeColor="accent3" w:themeShade="80"/>
      <w:sz w:val="28"/>
    </w:rPr>
  </w:style>
  <w:style w:type="character" w:customStyle="1" w:styleId="Heading4Char">
    <w:name w:val="Heading 4 Char"/>
    <w:basedOn w:val="DefaultParagraphFont"/>
    <w:link w:val="Heading4"/>
    <w:semiHidden/>
    <w:rsid w:val="00E3204F"/>
    <w:rPr>
      <w:rFonts w:ascii="Arial" w:eastAsia="Times New Roman" w:hAnsi="Arial" w:cs="Times New Roman"/>
      <w:b/>
      <w:i/>
      <w:color w:val="595959" w:themeColor="text1" w:themeTint="A6"/>
    </w:rPr>
  </w:style>
  <w:style w:type="paragraph" w:styleId="Title">
    <w:name w:val="Title"/>
    <w:basedOn w:val="Normal"/>
    <w:next w:val="Normal"/>
    <w:link w:val="TitleChar"/>
    <w:qFormat/>
    <w:rsid w:val="00E3204F"/>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E3204F"/>
    <w:rPr>
      <w:rFonts w:ascii="Palatino Linotype" w:eastAsia="Times New Roman" w:hAnsi="Palatino Linotype" w:cs="Arial"/>
      <w:color w:val="4F6228" w:themeColor="accent3" w:themeShade="80"/>
      <w:sz w:val="36"/>
      <w:szCs w:val="36"/>
    </w:rPr>
  </w:style>
  <w:style w:type="character" w:customStyle="1" w:styleId="ListParagraphChar">
    <w:name w:val="List Paragraph Char"/>
    <w:aliases w:val="List Bulet Char,COMESA Text 2 Char,Standard 12 pt Char"/>
    <w:basedOn w:val="DefaultParagraphFont"/>
    <w:link w:val="ListParagraph"/>
    <w:uiPriority w:val="34"/>
    <w:locked/>
    <w:rsid w:val="00E3204F"/>
    <w:rPr>
      <w:rFonts w:ascii="Palatino Linotype" w:eastAsia="Times New Roman" w:hAnsi="Palatino Linotype" w:cs="Times New Roman"/>
    </w:rPr>
  </w:style>
  <w:style w:type="paragraph" w:customStyle="1" w:styleId="Heading1NoLine">
    <w:name w:val="Heading 1 No Line"/>
    <w:basedOn w:val="Heading1"/>
    <w:autoRedefine/>
    <w:uiPriority w:val="2"/>
    <w:qFormat/>
    <w:rsid w:val="00E3204F"/>
    <w:pPr>
      <w:pBdr>
        <w:top w:val="none" w:sz="0" w:space="0" w:color="auto"/>
      </w:pBdr>
    </w:pPr>
    <w:rPr>
      <w:rFonts w:cs="Arial"/>
      <w:szCs w:val="24"/>
    </w:rPr>
  </w:style>
  <w:style w:type="character" w:customStyle="1" w:styleId="Subtitle1Char">
    <w:name w:val="Subtitle 1 Char"/>
    <w:basedOn w:val="DefaultParagraphFont"/>
    <w:link w:val="Subtitle1"/>
    <w:locked/>
    <w:rsid w:val="00E3204F"/>
    <w:rPr>
      <w:rFonts w:ascii="Palatino Linotype" w:eastAsia="Times New Roman" w:hAnsi="Palatino Linotype" w:cs="Times New Roman"/>
      <w:b/>
      <w:bCs/>
      <w:i/>
      <w:color w:val="35421A"/>
      <w:sz w:val="28"/>
    </w:rPr>
  </w:style>
  <w:style w:type="paragraph" w:customStyle="1" w:styleId="Subtitle1">
    <w:name w:val="Subtitle 1"/>
    <w:basedOn w:val="Normal"/>
    <w:link w:val="Subtitle1Char"/>
    <w:qFormat/>
    <w:rsid w:val="00E3204F"/>
    <w:pPr>
      <w:spacing w:before="120" w:after="240"/>
    </w:pPr>
    <w:rPr>
      <w:b/>
      <w:bCs/>
      <w:i/>
      <w:color w:val="35421A"/>
      <w:sz w:val="28"/>
    </w:rPr>
  </w:style>
  <w:style w:type="table" w:styleId="MediumGrid3-Accent3">
    <w:name w:val="Medium Grid 3 Accent 3"/>
    <w:basedOn w:val="TableNormal"/>
    <w:uiPriority w:val="69"/>
    <w:rsid w:val="00436C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semiHidden/>
    <w:rsid w:val="00CF4F7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54EB"/>
    <w:pPr>
      <w:spacing w:after="0" w:line="240" w:lineRule="auto"/>
    </w:pPr>
  </w:style>
  <w:style w:type="table" w:styleId="LightShading-Accent3">
    <w:name w:val="Light Shading Accent 3"/>
    <w:basedOn w:val="TableNormal"/>
    <w:uiPriority w:val="60"/>
    <w:rsid w:val="00E918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CD4E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basedOn w:val="DefaultParagraphFont"/>
    <w:uiPriority w:val="99"/>
    <w:unhideWhenUsed/>
    <w:rsid w:val="00AA2F77"/>
    <w:rPr>
      <w:color w:val="0000FF" w:themeColor="hyperlink"/>
      <w:u w:val="single"/>
    </w:rPr>
  </w:style>
  <w:style w:type="paragraph" w:customStyle="1" w:styleId="ecxmsonormal">
    <w:name w:val="ecxmsonormal"/>
    <w:basedOn w:val="Normal"/>
    <w:rsid w:val="00AA2F7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B16BD8"/>
    <w:pPr>
      <w:spacing w:before="0"/>
    </w:pPr>
    <w:rPr>
      <w:sz w:val="20"/>
      <w:szCs w:val="20"/>
    </w:rPr>
  </w:style>
  <w:style w:type="character" w:customStyle="1" w:styleId="FootnoteTextChar">
    <w:name w:val="Footnote Text Char"/>
    <w:basedOn w:val="DefaultParagraphFont"/>
    <w:link w:val="FootnoteText"/>
    <w:uiPriority w:val="99"/>
    <w:semiHidden/>
    <w:rsid w:val="00B16BD8"/>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B16B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19078D"/>
    <w:pPr>
      <w:spacing w:before="240" w:after="0" w:line="240" w:lineRule="auto"/>
    </w:pPr>
    <w:rPr>
      <w:rFonts w:ascii="Palatino Linotype" w:eastAsia="Times New Roman" w:hAnsi="Palatino Linotype" w:cs="Times New Roman"/>
    </w:rPr>
  </w:style>
  <w:style w:type="paragraph" w:styleId="Heading1">
    <w:name w:val="heading 1"/>
    <w:basedOn w:val="Normal"/>
    <w:next w:val="Normal"/>
    <w:link w:val="Heading1Char"/>
    <w:autoRedefine/>
    <w:uiPriority w:val="2"/>
    <w:qFormat/>
    <w:rsid w:val="00F35BF9"/>
    <w:pPr>
      <w:keepNext/>
      <w:pBdr>
        <w:top w:val="single" w:sz="4" w:space="16" w:color="auto"/>
      </w:pBdr>
      <w:tabs>
        <w:tab w:val="num" w:pos="2160"/>
      </w:tabs>
      <w:spacing w:after="120"/>
      <w:outlineLvl w:val="0"/>
    </w:pPr>
    <w:rPr>
      <w:b/>
      <w:bCs/>
      <w:color w:val="4F6228" w:themeColor="accent3" w:themeShade="80"/>
      <w:sz w:val="28"/>
    </w:rPr>
  </w:style>
  <w:style w:type="paragraph" w:styleId="Heading2">
    <w:name w:val="heading 2"/>
    <w:basedOn w:val="Normal"/>
    <w:next w:val="Normal"/>
    <w:link w:val="Heading2Char"/>
    <w:uiPriority w:val="9"/>
    <w:semiHidden/>
    <w:unhideWhenUsed/>
    <w:qFormat/>
    <w:rsid w:val="00CF4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semiHidden/>
    <w:unhideWhenUsed/>
    <w:qFormat/>
    <w:rsid w:val="00E3204F"/>
    <w:pPr>
      <w:spacing w:after="120"/>
      <w:ind w:firstLine="360"/>
      <w:outlineLvl w:val="3"/>
    </w:pPr>
    <w:rPr>
      <w:rFonts w:ascii="Arial" w:hAnsi="Arial"/>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FC"/>
    <w:rPr>
      <w:rFonts w:ascii="Tahoma" w:eastAsia="Times New Roman" w:hAnsi="Tahoma" w:cs="Tahoma"/>
      <w:sz w:val="16"/>
      <w:szCs w:val="16"/>
    </w:rPr>
  </w:style>
  <w:style w:type="paragraph" w:styleId="ListParagraph">
    <w:name w:val="List Paragraph"/>
    <w:aliases w:val="List Bulet,COMESA Text 2,Standard 12 pt"/>
    <w:basedOn w:val="Normal"/>
    <w:link w:val="ListParagraphChar"/>
    <w:uiPriority w:val="34"/>
    <w:qFormat/>
    <w:rsid w:val="007B7D07"/>
    <w:pPr>
      <w:ind w:left="720"/>
      <w:contextualSpacing/>
    </w:pPr>
  </w:style>
  <w:style w:type="character" w:styleId="CommentReference">
    <w:name w:val="annotation reference"/>
    <w:basedOn w:val="DefaultParagraphFont"/>
    <w:uiPriority w:val="99"/>
    <w:semiHidden/>
    <w:unhideWhenUsed/>
    <w:rsid w:val="00A314EC"/>
    <w:rPr>
      <w:sz w:val="16"/>
      <w:szCs w:val="16"/>
    </w:rPr>
  </w:style>
  <w:style w:type="paragraph" w:styleId="CommentText">
    <w:name w:val="annotation text"/>
    <w:basedOn w:val="Normal"/>
    <w:link w:val="CommentTextChar"/>
    <w:uiPriority w:val="99"/>
    <w:semiHidden/>
    <w:unhideWhenUsed/>
    <w:rsid w:val="00A314EC"/>
    <w:rPr>
      <w:sz w:val="20"/>
      <w:szCs w:val="20"/>
    </w:rPr>
  </w:style>
  <w:style w:type="character" w:customStyle="1" w:styleId="CommentTextChar">
    <w:name w:val="Comment Text Char"/>
    <w:basedOn w:val="DefaultParagraphFont"/>
    <w:link w:val="CommentText"/>
    <w:uiPriority w:val="99"/>
    <w:semiHidden/>
    <w:rsid w:val="00A314EC"/>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314EC"/>
    <w:rPr>
      <w:b/>
      <w:bCs/>
    </w:rPr>
  </w:style>
  <w:style w:type="character" w:customStyle="1" w:styleId="CommentSubjectChar">
    <w:name w:val="Comment Subject Char"/>
    <w:basedOn w:val="CommentTextChar"/>
    <w:link w:val="CommentSubject"/>
    <w:uiPriority w:val="99"/>
    <w:semiHidden/>
    <w:rsid w:val="00A314EC"/>
    <w:rPr>
      <w:rFonts w:ascii="Palatino Linotype" w:eastAsia="Times New Roman" w:hAnsi="Palatino Linotype" w:cs="Times New Roman"/>
      <w:b/>
      <w:bCs/>
      <w:sz w:val="20"/>
      <w:szCs w:val="20"/>
    </w:rPr>
  </w:style>
  <w:style w:type="table" w:styleId="TableGrid">
    <w:name w:val="Table Grid"/>
    <w:basedOn w:val="TableNormal"/>
    <w:uiPriority w:val="59"/>
    <w:rsid w:val="000E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45D"/>
    <w:pPr>
      <w:tabs>
        <w:tab w:val="center" w:pos="4680"/>
        <w:tab w:val="right" w:pos="9360"/>
      </w:tabs>
      <w:spacing w:before="0"/>
    </w:pPr>
  </w:style>
  <w:style w:type="character" w:customStyle="1" w:styleId="HeaderChar">
    <w:name w:val="Header Char"/>
    <w:basedOn w:val="DefaultParagraphFont"/>
    <w:link w:val="Header"/>
    <w:uiPriority w:val="99"/>
    <w:rsid w:val="00F9145D"/>
    <w:rPr>
      <w:rFonts w:ascii="Palatino Linotype" w:eastAsia="Times New Roman" w:hAnsi="Palatino Linotype" w:cs="Times New Roman"/>
    </w:rPr>
  </w:style>
  <w:style w:type="paragraph" w:styleId="Footer">
    <w:name w:val="footer"/>
    <w:basedOn w:val="Normal"/>
    <w:link w:val="FooterChar"/>
    <w:uiPriority w:val="99"/>
    <w:unhideWhenUsed/>
    <w:rsid w:val="00F9145D"/>
    <w:pPr>
      <w:tabs>
        <w:tab w:val="center" w:pos="4680"/>
        <w:tab w:val="right" w:pos="9360"/>
      </w:tabs>
      <w:spacing w:before="0"/>
    </w:pPr>
  </w:style>
  <w:style w:type="character" w:customStyle="1" w:styleId="FooterChar">
    <w:name w:val="Footer Char"/>
    <w:basedOn w:val="DefaultParagraphFont"/>
    <w:link w:val="Footer"/>
    <w:uiPriority w:val="99"/>
    <w:rsid w:val="00F9145D"/>
    <w:rPr>
      <w:rFonts w:ascii="Palatino Linotype" w:eastAsia="Times New Roman" w:hAnsi="Palatino Linotype" w:cs="Times New Roman"/>
    </w:rPr>
  </w:style>
  <w:style w:type="paragraph" w:customStyle="1" w:styleId="D345FF3D873148C5AE3FBF3267827368">
    <w:name w:val="D345FF3D873148C5AE3FBF3267827368"/>
    <w:rsid w:val="00F9145D"/>
    <w:rPr>
      <w:rFonts w:eastAsiaTheme="minorEastAsia"/>
      <w:lang w:eastAsia="ja-JP"/>
    </w:rPr>
  </w:style>
  <w:style w:type="character" w:customStyle="1" w:styleId="Heading1Char">
    <w:name w:val="Heading 1 Char"/>
    <w:basedOn w:val="DefaultParagraphFont"/>
    <w:link w:val="Heading1"/>
    <w:uiPriority w:val="2"/>
    <w:rsid w:val="00F35BF9"/>
    <w:rPr>
      <w:rFonts w:ascii="Palatino Linotype" w:eastAsia="Times New Roman" w:hAnsi="Palatino Linotype" w:cs="Times New Roman"/>
      <w:b/>
      <w:bCs/>
      <w:color w:val="4F6228" w:themeColor="accent3" w:themeShade="80"/>
      <w:sz w:val="28"/>
    </w:rPr>
  </w:style>
  <w:style w:type="character" w:customStyle="1" w:styleId="Heading4Char">
    <w:name w:val="Heading 4 Char"/>
    <w:basedOn w:val="DefaultParagraphFont"/>
    <w:link w:val="Heading4"/>
    <w:semiHidden/>
    <w:rsid w:val="00E3204F"/>
    <w:rPr>
      <w:rFonts w:ascii="Arial" w:eastAsia="Times New Roman" w:hAnsi="Arial" w:cs="Times New Roman"/>
      <w:b/>
      <w:i/>
      <w:color w:val="595959" w:themeColor="text1" w:themeTint="A6"/>
    </w:rPr>
  </w:style>
  <w:style w:type="paragraph" w:styleId="Title">
    <w:name w:val="Title"/>
    <w:basedOn w:val="Normal"/>
    <w:next w:val="Normal"/>
    <w:link w:val="TitleChar"/>
    <w:qFormat/>
    <w:rsid w:val="00E3204F"/>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E3204F"/>
    <w:rPr>
      <w:rFonts w:ascii="Palatino Linotype" w:eastAsia="Times New Roman" w:hAnsi="Palatino Linotype" w:cs="Arial"/>
      <w:color w:val="4F6228" w:themeColor="accent3" w:themeShade="80"/>
      <w:sz w:val="36"/>
      <w:szCs w:val="36"/>
    </w:rPr>
  </w:style>
  <w:style w:type="character" w:customStyle="1" w:styleId="ListParagraphChar">
    <w:name w:val="List Paragraph Char"/>
    <w:aliases w:val="List Bulet Char,COMESA Text 2 Char,Standard 12 pt Char"/>
    <w:basedOn w:val="DefaultParagraphFont"/>
    <w:link w:val="ListParagraph"/>
    <w:uiPriority w:val="34"/>
    <w:locked/>
    <w:rsid w:val="00E3204F"/>
    <w:rPr>
      <w:rFonts w:ascii="Palatino Linotype" w:eastAsia="Times New Roman" w:hAnsi="Palatino Linotype" w:cs="Times New Roman"/>
    </w:rPr>
  </w:style>
  <w:style w:type="paragraph" w:customStyle="1" w:styleId="Heading1NoLine">
    <w:name w:val="Heading 1 No Line"/>
    <w:basedOn w:val="Heading1"/>
    <w:autoRedefine/>
    <w:uiPriority w:val="2"/>
    <w:qFormat/>
    <w:rsid w:val="00E3204F"/>
    <w:pPr>
      <w:pBdr>
        <w:top w:val="none" w:sz="0" w:space="0" w:color="auto"/>
      </w:pBdr>
    </w:pPr>
    <w:rPr>
      <w:rFonts w:cs="Arial"/>
      <w:szCs w:val="24"/>
    </w:rPr>
  </w:style>
  <w:style w:type="character" w:customStyle="1" w:styleId="Subtitle1Char">
    <w:name w:val="Subtitle 1 Char"/>
    <w:basedOn w:val="DefaultParagraphFont"/>
    <w:link w:val="Subtitle1"/>
    <w:locked/>
    <w:rsid w:val="00E3204F"/>
    <w:rPr>
      <w:rFonts w:ascii="Palatino Linotype" w:eastAsia="Times New Roman" w:hAnsi="Palatino Linotype" w:cs="Times New Roman"/>
      <w:b/>
      <w:bCs/>
      <w:i/>
      <w:color w:val="35421A"/>
      <w:sz w:val="28"/>
    </w:rPr>
  </w:style>
  <w:style w:type="paragraph" w:customStyle="1" w:styleId="Subtitle1">
    <w:name w:val="Subtitle 1"/>
    <w:basedOn w:val="Normal"/>
    <w:link w:val="Subtitle1Char"/>
    <w:qFormat/>
    <w:rsid w:val="00E3204F"/>
    <w:pPr>
      <w:spacing w:before="120" w:after="240"/>
    </w:pPr>
    <w:rPr>
      <w:b/>
      <w:bCs/>
      <w:i/>
      <w:color w:val="35421A"/>
      <w:sz w:val="28"/>
    </w:rPr>
  </w:style>
  <w:style w:type="table" w:styleId="MediumGrid3-Accent3">
    <w:name w:val="Medium Grid 3 Accent 3"/>
    <w:basedOn w:val="TableNormal"/>
    <w:uiPriority w:val="69"/>
    <w:rsid w:val="00436C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semiHidden/>
    <w:rsid w:val="00CF4F7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54EB"/>
    <w:pPr>
      <w:spacing w:after="0" w:line="240" w:lineRule="auto"/>
    </w:pPr>
  </w:style>
  <w:style w:type="table" w:styleId="LightShading-Accent3">
    <w:name w:val="Light Shading Accent 3"/>
    <w:basedOn w:val="TableNormal"/>
    <w:uiPriority w:val="60"/>
    <w:rsid w:val="00E918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CD4E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basedOn w:val="DefaultParagraphFont"/>
    <w:uiPriority w:val="99"/>
    <w:unhideWhenUsed/>
    <w:rsid w:val="00AA2F77"/>
    <w:rPr>
      <w:color w:val="0000FF" w:themeColor="hyperlink"/>
      <w:u w:val="single"/>
    </w:rPr>
  </w:style>
  <w:style w:type="paragraph" w:customStyle="1" w:styleId="ecxmsonormal">
    <w:name w:val="ecxmsonormal"/>
    <w:basedOn w:val="Normal"/>
    <w:rsid w:val="00AA2F7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B16BD8"/>
    <w:pPr>
      <w:spacing w:before="0"/>
    </w:pPr>
    <w:rPr>
      <w:sz w:val="20"/>
      <w:szCs w:val="20"/>
    </w:rPr>
  </w:style>
  <w:style w:type="character" w:customStyle="1" w:styleId="FootnoteTextChar">
    <w:name w:val="Footnote Text Char"/>
    <w:basedOn w:val="DefaultParagraphFont"/>
    <w:link w:val="FootnoteText"/>
    <w:uiPriority w:val="99"/>
    <w:semiHidden/>
    <w:rsid w:val="00B16BD8"/>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B16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1718">
      <w:bodyDiv w:val="1"/>
      <w:marLeft w:val="0"/>
      <w:marRight w:val="0"/>
      <w:marTop w:val="0"/>
      <w:marBottom w:val="0"/>
      <w:divBdr>
        <w:top w:val="none" w:sz="0" w:space="0" w:color="auto"/>
        <w:left w:val="none" w:sz="0" w:space="0" w:color="auto"/>
        <w:bottom w:val="none" w:sz="0" w:space="0" w:color="auto"/>
        <w:right w:val="none" w:sz="0" w:space="0" w:color="auto"/>
      </w:divBdr>
    </w:div>
    <w:div w:id="788821834">
      <w:bodyDiv w:val="1"/>
      <w:marLeft w:val="0"/>
      <w:marRight w:val="0"/>
      <w:marTop w:val="0"/>
      <w:marBottom w:val="0"/>
      <w:divBdr>
        <w:top w:val="none" w:sz="0" w:space="0" w:color="auto"/>
        <w:left w:val="none" w:sz="0" w:space="0" w:color="auto"/>
        <w:bottom w:val="none" w:sz="0" w:space="0" w:color="auto"/>
        <w:right w:val="none" w:sz="0" w:space="0" w:color="auto"/>
      </w:divBdr>
      <w:divsChild>
        <w:div w:id="1914855155">
          <w:marLeft w:val="360"/>
          <w:marRight w:val="0"/>
          <w:marTop w:val="160"/>
          <w:marBottom w:val="0"/>
          <w:divBdr>
            <w:top w:val="none" w:sz="0" w:space="0" w:color="auto"/>
            <w:left w:val="none" w:sz="0" w:space="0" w:color="auto"/>
            <w:bottom w:val="none" w:sz="0" w:space="0" w:color="auto"/>
            <w:right w:val="none" w:sz="0" w:space="0" w:color="auto"/>
          </w:divBdr>
        </w:div>
      </w:divsChild>
    </w:div>
    <w:div w:id="927693493">
      <w:bodyDiv w:val="1"/>
      <w:marLeft w:val="0"/>
      <w:marRight w:val="0"/>
      <w:marTop w:val="0"/>
      <w:marBottom w:val="0"/>
      <w:divBdr>
        <w:top w:val="none" w:sz="0" w:space="0" w:color="auto"/>
        <w:left w:val="none" w:sz="0" w:space="0" w:color="auto"/>
        <w:bottom w:val="none" w:sz="0" w:space="0" w:color="auto"/>
        <w:right w:val="none" w:sz="0" w:space="0" w:color="auto"/>
      </w:divBdr>
    </w:div>
    <w:div w:id="1082066186">
      <w:bodyDiv w:val="1"/>
      <w:marLeft w:val="0"/>
      <w:marRight w:val="0"/>
      <w:marTop w:val="0"/>
      <w:marBottom w:val="0"/>
      <w:divBdr>
        <w:top w:val="none" w:sz="0" w:space="0" w:color="auto"/>
        <w:left w:val="none" w:sz="0" w:space="0" w:color="auto"/>
        <w:bottom w:val="none" w:sz="0" w:space="0" w:color="auto"/>
        <w:right w:val="none" w:sz="0" w:space="0" w:color="auto"/>
      </w:divBdr>
    </w:div>
    <w:div w:id="1582831970">
      <w:bodyDiv w:val="1"/>
      <w:marLeft w:val="0"/>
      <w:marRight w:val="0"/>
      <w:marTop w:val="0"/>
      <w:marBottom w:val="0"/>
      <w:divBdr>
        <w:top w:val="none" w:sz="0" w:space="0" w:color="auto"/>
        <w:left w:val="none" w:sz="0" w:space="0" w:color="auto"/>
        <w:bottom w:val="none" w:sz="0" w:space="0" w:color="auto"/>
        <w:right w:val="none" w:sz="0" w:space="0" w:color="auto"/>
      </w:divBdr>
    </w:div>
    <w:div w:id="1589077426">
      <w:bodyDiv w:val="1"/>
      <w:marLeft w:val="0"/>
      <w:marRight w:val="0"/>
      <w:marTop w:val="0"/>
      <w:marBottom w:val="0"/>
      <w:divBdr>
        <w:top w:val="none" w:sz="0" w:space="0" w:color="auto"/>
        <w:left w:val="none" w:sz="0" w:space="0" w:color="auto"/>
        <w:bottom w:val="none" w:sz="0" w:space="0" w:color="auto"/>
        <w:right w:val="none" w:sz="0" w:space="0" w:color="auto"/>
      </w:divBdr>
    </w:div>
    <w:div w:id="1618490201">
      <w:bodyDiv w:val="1"/>
      <w:marLeft w:val="0"/>
      <w:marRight w:val="0"/>
      <w:marTop w:val="0"/>
      <w:marBottom w:val="0"/>
      <w:divBdr>
        <w:top w:val="none" w:sz="0" w:space="0" w:color="auto"/>
        <w:left w:val="none" w:sz="0" w:space="0" w:color="auto"/>
        <w:bottom w:val="none" w:sz="0" w:space="0" w:color="auto"/>
        <w:right w:val="none" w:sz="0" w:space="0" w:color="auto"/>
      </w:divBdr>
    </w:div>
    <w:div w:id="1918634485">
      <w:bodyDiv w:val="1"/>
      <w:marLeft w:val="0"/>
      <w:marRight w:val="0"/>
      <w:marTop w:val="0"/>
      <w:marBottom w:val="0"/>
      <w:divBdr>
        <w:top w:val="none" w:sz="0" w:space="0" w:color="auto"/>
        <w:left w:val="none" w:sz="0" w:space="0" w:color="auto"/>
        <w:bottom w:val="none" w:sz="0" w:space="0" w:color="auto"/>
        <w:right w:val="none" w:sz="0" w:space="0" w:color="auto"/>
      </w:divBdr>
    </w:div>
    <w:div w:id="21007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ShowOnWeb xmlns="8785aa91-c7e0-4919-af50-c2335796def4">false</ShowOnWeb>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2013-04-23T17:15:46+00:00</Document_x0020_Date_x0020__x0028_for_x0020_web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09452dab5543572b08c7eec5ce9a1b94">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f10e0540162938c4198c7a4e8d2e0c4c"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2026-0664-4F63-B4E4-03800C99AC9B}">
  <ds:schemaRefs>
    <ds:schemaRef ds:uri="http://schemas.microsoft.com/office/2006/metadata/properties"/>
    <ds:schemaRef ds:uri="http://schemas.microsoft.com/office/infopath/2007/PartnerControls"/>
    <ds:schemaRef ds:uri="8785aa91-c7e0-4919-af50-c2335796def4"/>
    <ds:schemaRef ds:uri="http://schemas.microsoft.com/sharepoint/v3"/>
    <ds:schemaRef ds:uri="e90f4b65-f468-49a0-9c1b-80b0331aefe1"/>
  </ds:schemaRefs>
</ds:datastoreItem>
</file>

<file path=customXml/itemProps2.xml><?xml version="1.0" encoding="utf-8"?>
<ds:datastoreItem xmlns:ds="http://schemas.openxmlformats.org/officeDocument/2006/customXml" ds:itemID="{9A9BFA9F-064E-4F72-B4E2-976BA7A553FD}">
  <ds:schemaRefs>
    <ds:schemaRef ds:uri="http://schemas.microsoft.com/sharepoint/v3/contenttype/forms"/>
  </ds:schemaRefs>
</ds:datastoreItem>
</file>

<file path=customXml/itemProps3.xml><?xml version="1.0" encoding="utf-8"?>
<ds:datastoreItem xmlns:ds="http://schemas.openxmlformats.org/officeDocument/2006/customXml" ds:itemID="{77AE6F73-3EAE-4256-94C9-7D9362C4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4C94A-25CD-4E3E-9B63-47F36A38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Wezi Chunga-Sambo</dc:creator>
  <cp:lastModifiedBy>Wezi Chunga-Sambo</cp:lastModifiedBy>
  <cp:revision>3</cp:revision>
  <cp:lastPrinted>2015-02-05T09:42:00Z</cp:lastPrinted>
  <dcterms:created xsi:type="dcterms:W3CDTF">2016-08-17T14:34:00Z</dcterms:created>
  <dcterms:modified xsi:type="dcterms:W3CDTF">2016-11-04T06:14:00Z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