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2042D" w14:textId="12CE2A85" w:rsidR="00590840" w:rsidRDefault="00590840" w:rsidP="00590840">
      <w:pPr>
        <w:spacing w:after="205" w:line="360" w:lineRule="auto"/>
        <w:ind w:right="-15"/>
        <w:rPr>
          <w:rFonts w:eastAsia="Arial"/>
          <w:b/>
          <w:color w:val="898D8D"/>
          <w:sz w:val="28"/>
          <w:szCs w:val="28"/>
        </w:rPr>
      </w:pPr>
      <w:r>
        <w:rPr>
          <w:rFonts w:eastAsia="Arial"/>
          <w:b/>
          <w:color w:val="898D8D"/>
          <w:sz w:val="28"/>
          <w:szCs w:val="28"/>
        </w:rPr>
        <w:tab/>
      </w:r>
      <w:r>
        <w:rPr>
          <w:rFonts w:eastAsia="Arial"/>
          <w:b/>
          <w:color w:val="898D8D"/>
          <w:sz w:val="28"/>
          <w:szCs w:val="28"/>
        </w:rPr>
        <w:tab/>
      </w:r>
      <w:r>
        <w:rPr>
          <w:rFonts w:eastAsia="Arial"/>
          <w:b/>
          <w:color w:val="898D8D"/>
          <w:sz w:val="28"/>
          <w:szCs w:val="28"/>
        </w:rPr>
        <w:tab/>
      </w:r>
      <w:r>
        <w:rPr>
          <w:rFonts w:eastAsia="Arial"/>
          <w:b/>
          <w:color w:val="898D8D"/>
          <w:sz w:val="28"/>
          <w:szCs w:val="28"/>
        </w:rPr>
        <w:tab/>
      </w:r>
      <w:r>
        <w:rPr>
          <w:rFonts w:eastAsia="Arial"/>
          <w:b/>
          <w:color w:val="898D8D"/>
          <w:sz w:val="28"/>
          <w:szCs w:val="28"/>
        </w:rPr>
        <w:tab/>
      </w:r>
      <w:r>
        <w:rPr>
          <w:rFonts w:eastAsia="Arial"/>
          <w:b/>
          <w:color w:val="898D8D"/>
          <w:sz w:val="28"/>
          <w:szCs w:val="28"/>
        </w:rPr>
        <w:tab/>
      </w:r>
      <w:r w:rsidR="00653ABC" w:rsidRPr="00653ABC">
        <w:rPr>
          <w:rFonts w:eastAsia="Arial"/>
          <w:b/>
          <w:color w:val="auto"/>
          <w:sz w:val="28"/>
          <w:szCs w:val="28"/>
        </w:rPr>
        <w:t xml:space="preserve">  </w:t>
      </w:r>
      <w:r w:rsidRPr="00653ABC">
        <w:rPr>
          <w:rFonts w:eastAsia="Arial"/>
          <w:b/>
          <w:color w:val="auto"/>
          <w:sz w:val="28"/>
          <w:szCs w:val="28"/>
        </w:rPr>
        <w:t xml:space="preserve">Republic of the Gambia </w:t>
      </w:r>
    </w:p>
    <w:p w14:paraId="30321879" w14:textId="751911C2" w:rsidR="00653ABC" w:rsidRDefault="00590840" w:rsidP="00653ABC">
      <w:pPr>
        <w:spacing w:after="205" w:line="360" w:lineRule="auto"/>
        <w:ind w:right="-15"/>
        <w:rPr>
          <w:rFonts w:eastAsia="Arial"/>
          <w:b/>
          <w:color w:val="898D8D"/>
          <w:sz w:val="28"/>
          <w:szCs w:val="28"/>
        </w:rPr>
      </w:pPr>
      <w:r>
        <w:rPr>
          <w:rFonts w:eastAsia="Arial"/>
          <w:b/>
          <w:color w:val="898D8D"/>
          <w:sz w:val="28"/>
          <w:szCs w:val="28"/>
        </w:rPr>
        <w:t xml:space="preserve">                                              </w:t>
      </w:r>
      <w:r>
        <w:rPr>
          <w:noProof/>
          <w:lang w:val="en-US" w:eastAsia="en-US"/>
        </w:rPr>
        <w:drawing>
          <wp:inline distT="0" distB="0" distL="0" distR="0" wp14:anchorId="4083F71E" wp14:editId="06BD6EA7">
            <wp:extent cx="1619250" cy="1285875"/>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inline>
        </w:drawing>
      </w:r>
      <w:bookmarkStart w:id="0" w:name="_GoBack"/>
      <w:bookmarkEnd w:id="0"/>
    </w:p>
    <w:p w14:paraId="28C9A828" w14:textId="5DCB3CD5" w:rsidR="00590840" w:rsidRDefault="00653ABC" w:rsidP="00653ABC">
      <w:pPr>
        <w:spacing w:after="205" w:line="360" w:lineRule="auto"/>
        <w:ind w:right="-15"/>
        <w:rPr>
          <w:rFonts w:eastAsia="Arial"/>
          <w:b/>
          <w:color w:val="898D8D"/>
          <w:sz w:val="28"/>
          <w:szCs w:val="28"/>
        </w:rPr>
      </w:pPr>
      <w:r>
        <w:rPr>
          <w:noProof/>
          <w:color w:val="auto"/>
          <w:sz w:val="24"/>
          <w:szCs w:val="24"/>
          <w:lang w:val="en-US" w:eastAsia="en-US"/>
        </w:rPr>
        <w:drawing>
          <wp:anchor distT="36576" distB="36576" distL="36576" distR="36576" simplePos="0" relativeHeight="251659264" behindDoc="0" locked="0" layoutInCell="1" allowOverlap="1" wp14:anchorId="65C8E1C8" wp14:editId="58E98CDF">
            <wp:simplePos x="0" y="0"/>
            <wp:positionH relativeFrom="column">
              <wp:posOffset>104775</wp:posOffset>
            </wp:positionH>
            <wp:positionV relativeFrom="paragraph">
              <wp:posOffset>187960</wp:posOffset>
            </wp:positionV>
            <wp:extent cx="1295400" cy="1104900"/>
            <wp:effectExtent l="0" t="0" r="0" b="0"/>
            <wp:wrapNone/>
            <wp:docPr id="5" name="Picture 3" descr="AU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 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w:b/>
          <w:color w:val="898D8D"/>
          <w:sz w:val="28"/>
          <w:szCs w:val="28"/>
        </w:rPr>
        <w:t xml:space="preserve">                                                                                            </w:t>
      </w:r>
      <w:r w:rsidRPr="00653ABC">
        <w:rPr>
          <w:rFonts w:cs="Helvetica"/>
          <w:noProof/>
          <w:lang w:val="en-US" w:eastAsia="en-US"/>
        </w:rPr>
        <w:drawing>
          <wp:inline distT="0" distB="0" distL="0" distR="0" wp14:anchorId="71195DD8" wp14:editId="7532256C">
            <wp:extent cx="1847850" cy="1219200"/>
            <wp:effectExtent l="0" t="0" r="0" b="0"/>
            <wp:docPr id="7" name="Image 2" descr="Description : 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ACA"/>
                    <pic:cNvPicPr>
                      <a:picLocks noChangeAspect="1" noChangeArrowheads="1"/>
                    </pic:cNvPicPr>
                  </pic:nvPicPr>
                  <pic:blipFill>
                    <a:blip r:embed="rId11">
                      <a:extLst>
                        <a:ext uri="{28A0092B-C50C-407E-A947-70E740481C1C}">
                          <a14:useLocalDpi xmlns:a14="http://schemas.microsoft.com/office/drawing/2010/main" val="0"/>
                        </a:ext>
                      </a:extLst>
                    </a:blip>
                    <a:srcRect r="5925"/>
                    <a:stretch>
                      <a:fillRect/>
                    </a:stretch>
                  </pic:blipFill>
                  <pic:spPr bwMode="auto">
                    <a:xfrm>
                      <a:off x="0" y="0"/>
                      <a:ext cx="1847850" cy="1219200"/>
                    </a:xfrm>
                    <a:prstGeom prst="rect">
                      <a:avLst/>
                    </a:prstGeom>
                    <a:noFill/>
                    <a:ln>
                      <a:noFill/>
                    </a:ln>
                  </pic:spPr>
                </pic:pic>
              </a:graphicData>
            </a:graphic>
          </wp:inline>
        </w:drawing>
      </w:r>
    </w:p>
    <w:p w14:paraId="54AD8C0B" w14:textId="77777777" w:rsidR="00653ABC" w:rsidRPr="00653ABC" w:rsidRDefault="00653ABC" w:rsidP="00653ABC">
      <w:pPr>
        <w:spacing w:after="205" w:line="360" w:lineRule="auto"/>
        <w:ind w:left="0" w:right="-15" w:firstLine="0"/>
        <w:jc w:val="center"/>
        <w:rPr>
          <w:rFonts w:eastAsia="Arial"/>
          <w:b/>
          <w:color w:val="auto"/>
          <w:sz w:val="28"/>
          <w:szCs w:val="28"/>
        </w:rPr>
      </w:pPr>
    </w:p>
    <w:p w14:paraId="3546B613" w14:textId="7AE96E08" w:rsidR="001A0B72" w:rsidRPr="00653ABC" w:rsidRDefault="001B7D6B" w:rsidP="00653ABC">
      <w:pPr>
        <w:spacing w:after="205" w:line="360" w:lineRule="auto"/>
        <w:ind w:left="0" w:right="-15" w:firstLine="0"/>
        <w:jc w:val="center"/>
        <w:rPr>
          <w:rFonts w:eastAsia="Arial"/>
          <w:b/>
          <w:color w:val="auto"/>
          <w:sz w:val="28"/>
          <w:szCs w:val="28"/>
        </w:rPr>
      </w:pPr>
      <w:r w:rsidRPr="00653ABC">
        <w:rPr>
          <w:rFonts w:eastAsia="Arial"/>
          <w:b/>
          <w:color w:val="auto"/>
          <w:sz w:val="28"/>
          <w:szCs w:val="28"/>
        </w:rPr>
        <w:t>Situational Analysis for Aflatoxin</w:t>
      </w:r>
      <w:r w:rsidR="007710B3" w:rsidRPr="00653ABC">
        <w:rPr>
          <w:rFonts w:eastAsia="Arial"/>
          <w:b/>
          <w:color w:val="auto"/>
          <w:sz w:val="28"/>
          <w:szCs w:val="28"/>
        </w:rPr>
        <w:t xml:space="preserve"> Mitigation</w:t>
      </w:r>
      <w:r w:rsidRPr="00653ABC">
        <w:rPr>
          <w:rFonts w:eastAsia="Arial"/>
          <w:b/>
          <w:color w:val="auto"/>
          <w:sz w:val="28"/>
          <w:szCs w:val="28"/>
        </w:rPr>
        <w:t xml:space="preserve"> within the National Food Safety System of The Gambia</w:t>
      </w:r>
    </w:p>
    <w:p w14:paraId="4D95698A" w14:textId="2DE97DBA" w:rsidR="001B7D6B" w:rsidRPr="00653ABC" w:rsidRDefault="001B7D6B" w:rsidP="00653ABC">
      <w:pPr>
        <w:spacing w:after="205" w:line="360" w:lineRule="auto"/>
        <w:ind w:right="-15"/>
        <w:jc w:val="center"/>
        <w:rPr>
          <w:rFonts w:eastAsia="Arial"/>
          <w:b/>
          <w:color w:val="auto"/>
          <w:sz w:val="28"/>
          <w:szCs w:val="28"/>
        </w:rPr>
      </w:pPr>
      <w:r w:rsidRPr="00653ABC">
        <w:rPr>
          <w:rFonts w:eastAsia="Arial"/>
          <w:b/>
          <w:color w:val="auto"/>
          <w:sz w:val="28"/>
          <w:szCs w:val="28"/>
        </w:rPr>
        <w:t>Prepared By:</w:t>
      </w:r>
    </w:p>
    <w:p w14:paraId="718911D9" w14:textId="773B37BC" w:rsidR="001B7D6B" w:rsidRPr="00653ABC" w:rsidRDefault="001B7D6B" w:rsidP="00653ABC">
      <w:pPr>
        <w:spacing w:after="0" w:line="360" w:lineRule="auto"/>
        <w:ind w:right="-15"/>
        <w:jc w:val="center"/>
        <w:rPr>
          <w:rFonts w:eastAsia="Arial"/>
          <w:b/>
          <w:color w:val="auto"/>
          <w:sz w:val="28"/>
          <w:szCs w:val="28"/>
        </w:rPr>
      </w:pPr>
      <w:r w:rsidRPr="00653ABC">
        <w:rPr>
          <w:rFonts w:eastAsia="Arial"/>
          <w:b/>
          <w:color w:val="auto"/>
          <w:sz w:val="28"/>
          <w:szCs w:val="28"/>
        </w:rPr>
        <w:t>Integrated Resources Innovation Services – International</w:t>
      </w:r>
    </w:p>
    <w:p w14:paraId="37972921" w14:textId="10D23E6B" w:rsidR="001A0B72" w:rsidRPr="00653ABC" w:rsidRDefault="001B7D6B" w:rsidP="00653ABC">
      <w:pPr>
        <w:spacing w:after="205" w:line="360" w:lineRule="auto"/>
        <w:ind w:right="-15"/>
        <w:jc w:val="center"/>
        <w:rPr>
          <w:rFonts w:eastAsia="Arial"/>
          <w:b/>
          <w:color w:val="auto"/>
          <w:sz w:val="28"/>
          <w:szCs w:val="28"/>
        </w:rPr>
      </w:pPr>
      <w:r w:rsidRPr="00653ABC">
        <w:rPr>
          <w:rFonts w:eastAsia="Arial"/>
          <w:b/>
          <w:color w:val="auto"/>
          <w:sz w:val="28"/>
          <w:szCs w:val="28"/>
        </w:rPr>
        <w:t>Sahel Plaza, Kairaba Avenue</w:t>
      </w:r>
    </w:p>
    <w:p w14:paraId="77ACAC8E" w14:textId="0AFD21FA" w:rsidR="001B7D6B" w:rsidRPr="00653ABC" w:rsidRDefault="001B7D6B" w:rsidP="00653ABC">
      <w:pPr>
        <w:spacing w:after="205" w:line="360" w:lineRule="auto"/>
        <w:ind w:right="-15"/>
        <w:jc w:val="center"/>
        <w:rPr>
          <w:rFonts w:eastAsia="Arial"/>
          <w:b/>
          <w:color w:val="auto"/>
          <w:sz w:val="28"/>
          <w:szCs w:val="28"/>
        </w:rPr>
      </w:pPr>
      <w:r w:rsidRPr="00653ABC">
        <w:rPr>
          <w:rFonts w:eastAsia="Arial"/>
          <w:b/>
          <w:color w:val="auto"/>
          <w:sz w:val="28"/>
          <w:szCs w:val="28"/>
        </w:rPr>
        <w:t>On behalf of:</w:t>
      </w:r>
    </w:p>
    <w:p w14:paraId="0ABDA162" w14:textId="2BD7CCA2" w:rsidR="001B7D6B" w:rsidRPr="00653ABC" w:rsidRDefault="007710B3" w:rsidP="00653ABC">
      <w:pPr>
        <w:spacing w:after="0" w:line="360" w:lineRule="auto"/>
        <w:ind w:right="-15"/>
        <w:jc w:val="center"/>
        <w:rPr>
          <w:rFonts w:eastAsia="Arial"/>
          <w:b/>
          <w:color w:val="auto"/>
          <w:sz w:val="28"/>
          <w:szCs w:val="28"/>
        </w:rPr>
      </w:pPr>
      <w:r w:rsidRPr="00653ABC">
        <w:rPr>
          <w:rFonts w:eastAsia="Arial"/>
          <w:b/>
          <w:color w:val="auto"/>
          <w:sz w:val="28"/>
          <w:szCs w:val="28"/>
        </w:rPr>
        <w:t xml:space="preserve">The </w:t>
      </w:r>
      <w:r w:rsidR="00653ABC" w:rsidRPr="00653ABC">
        <w:rPr>
          <w:rFonts w:eastAsia="Arial"/>
          <w:b/>
          <w:color w:val="auto"/>
          <w:sz w:val="28"/>
          <w:szCs w:val="28"/>
        </w:rPr>
        <w:t xml:space="preserve">Partnership for Aflatoxin Control in Africa </w:t>
      </w:r>
    </w:p>
    <w:p w14:paraId="14A65720" w14:textId="79C732BB" w:rsidR="001B7D6B" w:rsidRPr="00653ABC" w:rsidRDefault="001A0B72" w:rsidP="00653ABC">
      <w:pPr>
        <w:spacing w:after="205" w:line="360" w:lineRule="auto"/>
        <w:ind w:right="-15"/>
        <w:jc w:val="center"/>
        <w:rPr>
          <w:rFonts w:eastAsia="Arial"/>
          <w:b/>
          <w:color w:val="auto"/>
          <w:sz w:val="28"/>
          <w:szCs w:val="28"/>
        </w:rPr>
      </w:pPr>
      <w:r w:rsidRPr="00653ABC">
        <w:rPr>
          <w:rFonts w:eastAsia="Arial"/>
          <w:b/>
          <w:color w:val="auto"/>
          <w:sz w:val="28"/>
          <w:szCs w:val="28"/>
        </w:rPr>
        <w:t>I</w:t>
      </w:r>
      <w:r w:rsidR="001B7D6B" w:rsidRPr="00653ABC">
        <w:rPr>
          <w:rFonts w:eastAsia="Arial"/>
          <w:b/>
          <w:color w:val="auto"/>
          <w:sz w:val="28"/>
          <w:szCs w:val="28"/>
        </w:rPr>
        <w:t>n Support to</w:t>
      </w:r>
    </w:p>
    <w:p w14:paraId="3DFBABA9" w14:textId="6CB140FF" w:rsidR="001B7D6B" w:rsidRPr="00653ABC" w:rsidRDefault="00653ABC" w:rsidP="00653ABC">
      <w:pPr>
        <w:spacing w:after="205" w:line="360" w:lineRule="auto"/>
        <w:ind w:right="-15"/>
        <w:jc w:val="center"/>
        <w:rPr>
          <w:rFonts w:eastAsia="Arial"/>
          <w:b/>
          <w:color w:val="auto"/>
          <w:sz w:val="28"/>
          <w:szCs w:val="28"/>
        </w:rPr>
      </w:pPr>
      <w:r>
        <w:rPr>
          <w:rFonts w:eastAsia="Arial"/>
          <w:b/>
          <w:color w:val="auto"/>
          <w:sz w:val="28"/>
          <w:szCs w:val="28"/>
        </w:rPr>
        <w:t>The Government of The Gambia</w:t>
      </w:r>
    </w:p>
    <w:p w14:paraId="72D72B13" w14:textId="758DBA3A" w:rsidR="007710B3" w:rsidRPr="00653ABC" w:rsidRDefault="00653ABC" w:rsidP="00653ABC">
      <w:pPr>
        <w:spacing w:after="205" w:line="360" w:lineRule="auto"/>
        <w:ind w:right="-15"/>
        <w:jc w:val="center"/>
        <w:rPr>
          <w:rFonts w:eastAsia="Arial"/>
          <w:b/>
          <w:color w:val="auto"/>
          <w:sz w:val="28"/>
          <w:szCs w:val="28"/>
        </w:rPr>
      </w:pPr>
      <w:r>
        <w:rPr>
          <w:rFonts w:eastAsia="Arial"/>
          <w:b/>
          <w:color w:val="auto"/>
          <w:sz w:val="28"/>
          <w:szCs w:val="28"/>
        </w:rPr>
        <w:t>June, 2015</w:t>
      </w:r>
    </w:p>
    <w:p w14:paraId="439C5A22" w14:textId="77777777" w:rsidR="007710B3" w:rsidRDefault="007710B3" w:rsidP="00E61D71">
      <w:pPr>
        <w:spacing w:line="360" w:lineRule="auto"/>
        <w:jc w:val="both"/>
      </w:pPr>
    </w:p>
    <w:sdt>
      <w:sdtPr>
        <w:rPr>
          <w:rFonts w:ascii="Times New Roman" w:eastAsia="Times New Roman" w:hAnsi="Times New Roman" w:cs="Times New Roman"/>
          <w:color w:val="000000"/>
          <w:sz w:val="22"/>
          <w:szCs w:val="22"/>
          <w:lang w:val="en-GB" w:eastAsia="en-GB"/>
        </w:rPr>
        <w:id w:val="721717386"/>
        <w:docPartObj>
          <w:docPartGallery w:val="Table of Contents"/>
          <w:docPartUnique/>
        </w:docPartObj>
      </w:sdtPr>
      <w:sdtEndPr>
        <w:rPr>
          <w:b/>
          <w:bCs/>
          <w:noProof/>
        </w:rPr>
      </w:sdtEndPr>
      <w:sdtContent>
        <w:p w14:paraId="37B40AD4" w14:textId="7472D84F" w:rsidR="008732F6" w:rsidRDefault="008732F6">
          <w:pPr>
            <w:pStyle w:val="TOCHeading"/>
          </w:pPr>
          <w:r>
            <w:t>Contents</w:t>
          </w:r>
        </w:p>
        <w:p w14:paraId="4B01562A" w14:textId="77777777" w:rsidR="00721FFF" w:rsidRDefault="008732F6">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27672738" w:history="1">
            <w:r w:rsidR="00721FFF" w:rsidRPr="002B5FE5">
              <w:rPr>
                <w:rStyle w:val="Hyperlink"/>
                <w:noProof/>
              </w:rPr>
              <w:t>List of Acronyms</w:t>
            </w:r>
            <w:r w:rsidR="00721FFF">
              <w:rPr>
                <w:noProof/>
                <w:webHidden/>
              </w:rPr>
              <w:tab/>
            </w:r>
            <w:r w:rsidR="00721FFF">
              <w:rPr>
                <w:noProof/>
                <w:webHidden/>
              </w:rPr>
              <w:fldChar w:fldCharType="begin"/>
            </w:r>
            <w:r w:rsidR="00721FFF">
              <w:rPr>
                <w:noProof/>
                <w:webHidden/>
              </w:rPr>
              <w:instrText xml:space="preserve"> PAGEREF _Toc427672738 \h </w:instrText>
            </w:r>
            <w:r w:rsidR="00721FFF">
              <w:rPr>
                <w:noProof/>
                <w:webHidden/>
              </w:rPr>
            </w:r>
            <w:r w:rsidR="00721FFF">
              <w:rPr>
                <w:noProof/>
                <w:webHidden/>
              </w:rPr>
              <w:fldChar w:fldCharType="separate"/>
            </w:r>
            <w:r w:rsidR="00721FFF">
              <w:rPr>
                <w:noProof/>
                <w:webHidden/>
              </w:rPr>
              <w:t>4</w:t>
            </w:r>
            <w:r w:rsidR="00721FFF">
              <w:rPr>
                <w:noProof/>
                <w:webHidden/>
              </w:rPr>
              <w:fldChar w:fldCharType="end"/>
            </w:r>
          </w:hyperlink>
        </w:p>
        <w:p w14:paraId="0D536FB0"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39" w:history="1">
            <w:r w:rsidR="00721FFF" w:rsidRPr="002B5FE5">
              <w:rPr>
                <w:rStyle w:val="Hyperlink"/>
                <w:noProof/>
              </w:rPr>
              <w:t>Executive Summary</w:t>
            </w:r>
            <w:r w:rsidR="00721FFF">
              <w:rPr>
                <w:noProof/>
                <w:webHidden/>
              </w:rPr>
              <w:tab/>
            </w:r>
            <w:r w:rsidR="00721FFF">
              <w:rPr>
                <w:noProof/>
                <w:webHidden/>
              </w:rPr>
              <w:fldChar w:fldCharType="begin"/>
            </w:r>
            <w:r w:rsidR="00721FFF">
              <w:rPr>
                <w:noProof/>
                <w:webHidden/>
              </w:rPr>
              <w:instrText xml:space="preserve"> PAGEREF _Toc427672739 \h </w:instrText>
            </w:r>
            <w:r w:rsidR="00721FFF">
              <w:rPr>
                <w:noProof/>
                <w:webHidden/>
              </w:rPr>
            </w:r>
            <w:r w:rsidR="00721FFF">
              <w:rPr>
                <w:noProof/>
                <w:webHidden/>
              </w:rPr>
              <w:fldChar w:fldCharType="separate"/>
            </w:r>
            <w:r w:rsidR="00721FFF">
              <w:rPr>
                <w:noProof/>
                <w:webHidden/>
              </w:rPr>
              <w:t>5</w:t>
            </w:r>
            <w:r w:rsidR="00721FFF">
              <w:rPr>
                <w:noProof/>
                <w:webHidden/>
              </w:rPr>
              <w:fldChar w:fldCharType="end"/>
            </w:r>
          </w:hyperlink>
        </w:p>
        <w:p w14:paraId="54F07207"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40" w:history="1">
            <w:r w:rsidR="00721FFF" w:rsidRPr="002B5FE5">
              <w:rPr>
                <w:rStyle w:val="Hyperlink"/>
                <w:noProof/>
              </w:rPr>
              <w:t>1.0 Introduction</w:t>
            </w:r>
            <w:r w:rsidR="00721FFF">
              <w:rPr>
                <w:noProof/>
                <w:webHidden/>
              </w:rPr>
              <w:tab/>
            </w:r>
            <w:r w:rsidR="00721FFF">
              <w:rPr>
                <w:noProof/>
                <w:webHidden/>
              </w:rPr>
              <w:fldChar w:fldCharType="begin"/>
            </w:r>
            <w:r w:rsidR="00721FFF">
              <w:rPr>
                <w:noProof/>
                <w:webHidden/>
              </w:rPr>
              <w:instrText xml:space="preserve"> PAGEREF _Toc427672740 \h </w:instrText>
            </w:r>
            <w:r w:rsidR="00721FFF">
              <w:rPr>
                <w:noProof/>
                <w:webHidden/>
              </w:rPr>
            </w:r>
            <w:r w:rsidR="00721FFF">
              <w:rPr>
                <w:noProof/>
                <w:webHidden/>
              </w:rPr>
              <w:fldChar w:fldCharType="separate"/>
            </w:r>
            <w:r w:rsidR="00721FFF">
              <w:rPr>
                <w:noProof/>
                <w:webHidden/>
              </w:rPr>
              <w:t>6</w:t>
            </w:r>
            <w:r w:rsidR="00721FFF">
              <w:rPr>
                <w:noProof/>
                <w:webHidden/>
              </w:rPr>
              <w:fldChar w:fldCharType="end"/>
            </w:r>
          </w:hyperlink>
        </w:p>
        <w:p w14:paraId="27534E23" w14:textId="77777777" w:rsidR="00721FFF" w:rsidRDefault="007710B3">
          <w:pPr>
            <w:pStyle w:val="TOC2"/>
            <w:tabs>
              <w:tab w:val="left" w:pos="880"/>
            </w:tabs>
            <w:rPr>
              <w:rFonts w:asciiTheme="minorHAnsi" w:eastAsiaTheme="minorEastAsia" w:hAnsiTheme="minorHAnsi" w:cstheme="minorBidi"/>
              <w:noProof/>
              <w:color w:val="auto"/>
            </w:rPr>
          </w:pPr>
          <w:hyperlink w:anchor="_Toc427672741" w:history="1">
            <w:r w:rsidR="00721FFF" w:rsidRPr="002B5FE5">
              <w:rPr>
                <w:rStyle w:val="Hyperlink"/>
                <w:noProof/>
              </w:rPr>
              <w:t>1.1</w:t>
            </w:r>
            <w:r w:rsidR="00721FFF">
              <w:rPr>
                <w:rFonts w:asciiTheme="minorHAnsi" w:eastAsiaTheme="minorEastAsia" w:hAnsiTheme="minorHAnsi" w:cstheme="minorBidi"/>
                <w:noProof/>
                <w:color w:val="auto"/>
              </w:rPr>
              <w:tab/>
            </w:r>
            <w:r w:rsidR="00721FFF" w:rsidRPr="002B5FE5">
              <w:rPr>
                <w:rStyle w:val="Hyperlink"/>
                <w:noProof/>
              </w:rPr>
              <w:t>The aflatoxin problem</w:t>
            </w:r>
            <w:r w:rsidR="00721FFF">
              <w:rPr>
                <w:noProof/>
                <w:webHidden/>
              </w:rPr>
              <w:tab/>
            </w:r>
            <w:r w:rsidR="00721FFF">
              <w:rPr>
                <w:noProof/>
                <w:webHidden/>
              </w:rPr>
              <w:fldChar w:fldCharType="begin"/>
            </w:r>
            <w:r w:rsidR="00721FFF">
              <w:rPr>
                <w:noProof/>
                <w:webHidden/>
              </w:rPr>
              <w:instrText xml:space="preserve"> PAGEREF _Toc427672741 \h </w:instrText>
            </w:r>
            <w:r w:rsidR="00721FFF">
              <w:rPr>
                <w:noProof/>
                <w:webHidden/>
              </w:rPr>
            </w:r>
            <w:r w:rsidR="00721FFF">
              <w:rPr>
                <w:noProof/>
                <w:webHidden/>
              </w:rPr>
              <w:fldChar w:fldCharType="separate"/>
            </w:r>
            <w:r w:rsidR="00721FFF">
              <w:rPr>
                <w:noProof/>
                <w:webHidden/>
              </w:rPr>
              <w:t>7</w:t>
            </w:r>
            <w:r w:rsidR="00721FFF">
              <w:rPr>
                <w:noProof/>
                <w:webHidden/>
              </w:rPr>
              <w:fldChar w:fldCharType="end"/>
            </w:r>
          </w:hyperlink>
        </w:p>
        <w:p w14:paraId="41E95527"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42" w:history="1">
            <w:r w:rsidR="00721FFF" w:rsidRPr="002B5FE5">
              <w:rPr>
                <w:rStyle w:val="Hyperlink"/>
                <w:noProof/>
              </w:rPr>
              <w:t>2.0 The country assessment</w:t>
            </w:r>
            <w:r w:rsidR="00721FFF">
              <w:rPr>
                <w:noProof/>
                <w:webHidden/>
              </w:rPr>
              <w:tab/>
            </w:r>
            <w:r w:rsidR="00721FFF">
              <w:rPr>
                <w:noProof/>
                <w:webHidden/>
              </w:rPr>
              <w:fldChar w:fldCharType="begin"/>
            </w:r>
            <w:r w:rsidR="00721FFF">
              <w:rPr>
                <w:noProof/>
                <w:webHidden/>
              </w:rPr>
              <w:instrText xml:space="preserve"> PAGEREF _Toc427672742 \h </w:instrText>
            </w:r>
            <w:r w:rsidR="00721FFF">
              <w:rPr>
                <w:noProof/>
                <w:webHidden/>
              </w:rPr>
            </w:r>
            <w:r w:rsidR="00721FFF">
              <w:rPr>
                <w:noProof/>
                <w:webHidden/>
              </w:rPr>
              <w:fldChar w:fldCharType="separate"/>
            </w:r>
            <w:r w:rsidR="00721FFF">
              <w:rPr>
                <w:noProof/>
                <w:webHidden/>
              </w:rPr>
              <w:t>10</w:t>
            </w:r>
            <w:r w:rsidR="00721FFF">
              <w:rPr>
                <w:noProof/>
                <w:webHidden/>
              </w:rPr>
              <w:fldChar w:fldCharType="end"/>
            </w:r>
          </w:hyperlink>
        </w:p>
        <w:p w14:paraId="2F749B1A"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43" w:history="1">
            <w:r w:rsidR="00721FFF" w:rsidRPr="002B5FE5">
              <w:rPr>
                <w:rStyle w:val="Hyperlink"/>
                <w:noProof/>
              </w:rPr>
              <w:t>3.0 Overview of the Conceptual Framework</w:t>
            </w:r>
            <w:r w:rsidR="00721FFF">
              <w:rPr>
                <w:noProof/>
                <w:webHidden/>
              </w:rPr>
              <w:tab/>
            </w:r>
            <w:r w:rsidR="00721FFF">
              <w:rPr>
                <w:noProof/>
                <w:webHidden/>
              </w:rPr>
              <w:fldChar w:fldCharType="begin"/>
            </w:r>
            <w:r w:rsidR="00721FFF">
              <w:rPr>
                <w:noProof/>
                <w:webHidden/>
              </w:rPr>
              <w:instrText xml:space="preserve"> PAGEREF _Toc427672743 \h </w:instrText>
            </w:r>
            <w:r w:rsidR="00721FFF">
              <w:rPr>
                <w:noProof/>
                <w:webHidden/>
              </w:rPr>
            </w:r>
            <w:r w:rsidR="00721FFF">
              <w:rPr>
                <w:noProof/>
                <w:webHidden/>
              </w:rPr>
              <w:fldChar w:fldCharType="separate"/>
            </w:r>
            <w:r w:rsidR="00721FFF">
              <w:rPr>
                <w:noProof/>
                <w:webHidden/>
              </w:rPr>
              <w:t>10</w:t>
            </w:r>
            <w:r w:rsidR="00721FFF">
              <w:rPr>
                <w:noProof/>
                <w:webHidden/>
              </w:rPr>
              <w:fldChar w:fldCharType="end"/>
            </w:r>
          </w:hyperlink>
        </w:p>
        <w:p w14:paraId="276EF76F" w14:textId="77777777" w:rsidR="00721FFF" w:rsidRDefault="007710B3">
          <w:pPr>
            <w:pStyle w:val="TOC1"/>
            <w:tabs>
              <w:tab w:val="left" w:pos="660"/>
              <w:tab w:val="right" w:leader="dot" w:pos="9350"/>
            </w:tabs>
            <w:rPr>
              <w:rFonts w:asciiTheme="minorHAnsi" w:eastAsiaTheme="minorEastAsia" w:hAnsiTheme="minorHAnsi" w:cstheme="minorBidi"/>
              <w:noProof/>
              <w:color w:val="auto"/>
            </w:rPr>
          </w:pPr>
          <w:hyperlink w:anchor="_Toc427672744" w:history="1">
            <w:r w:rsidR="00721FFF" w:rsidRPr="002B5FE5">
              <w:rPr>
                <w:rStyle w:val="Hyperlink"/>
                <w:noProof/>
              </w:rPr>
              <w:t>4.0</w:t>
            </w:r>
            <w:r w:rsidR="00721FFF">
              <w:rPr>
                <w:rFonts w:asciiTheme="minorHAnsi" w:eastAsiaTheme="minorEastAsia" w:hAnsiTheme="minorHAnsi" w:cstheme="minorBidi"/>
                <w:noProof/>
                <w:color w:val="auto"/>
              </w:rPr>
              <w:tab/>
            </w:r>
            <w:r w:rsidR="00721FFF" w:rsidRPr="002B5FE5">
              <w:rPr>
                <w:rStyle w:val="Hyperlink"/>
                <w:noProof/>
              </w:rPr>
              <w:t>Identification of the Key Crops of Concern</w:t>
            </w:r>
            <w:r w:rsidR="00721FFF">
              <w:rPr>
                <w:noProof/>
                <w:webHidden/>
              </w:rPr>
              <w:tab/>
            </w:r>
            <w:r w:rsidR="00721FFF">
              <w:rPr>
                <w:noProof/>
                <w:webHidden/>
              </w:rPr>
              <w:fldChar w:fldCharType="begin"/>
            </w:r>
            <w:r w:rsidR="00721FFF">
              <w:rPr>
                <w:noProof/>
                <w:webHidden/>
              </w:rPr>
              <w:instrText xml:space="preserve"> PAGEREF _Toc427672744 \h </w:instrText>
            </w:r>
            <w:r w:rsidR="00721FFF">
              <w:rPr>
                <w:noProof/>
                <w:webHidden/>
              </w:rPr>
            </w:r>
            <w:r w:rsidR="00721FFF">
              <w:rPr>
                <w:noProof/>
                <w:webHidden/>
              </w:rPr>
              <w:fldChar w:fldCharType="separate"/>
            </w:r>
            <w:r w:rsidR="00721FFF">
              <w:rPr>
                <w:noProof/>
                <w:webHidden/>
              </w:rPr>
              <w:t>11</w:t>
            </w:r>
            <w:r w:rsidR="00721FFF">
              <w:rPr>
                <w:noProof/>
                <w:webHidden/>
              </w:rPr>
              <w:fldChar w:fldCharType="end"/>
            </w:r>
          </w:hyperlink>
        </w:p>
        <w:p w14:paraId="67171FA2"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45" w:history="1">
            <w:r w:rsidR="00721FFF" w:rsidRPr="002B5FE5">
              <w:rPr>
                <w:rStyle w:val="Hyperlink"/>
                <w:noProof/>
              </w:rPr>
              <w:t>5.0 Prevalence of aflatoxin and aflatoxin-producing fungus</w:t>
            </w:r>
            <w:r w:rsidR="00721FFF">
              <w:rPr>
                <w:noProof/>
                <w:webHidden/>
              </w:rPr>
              <w:tab/>
            </w:r>
            <w:r w:rsidR="00721FFF">
              <w:rPr>
                <w:noProof/>
                <w:webHidden/>
              </w:rPr>
              <w:fldChar w:fldCharType="begin"/>
            </w:r>
            <w:r w:rsidR="00721FFF">
              <w:rPr>
                <w:noProof/>
                <w:webHidden/>
              </w:rPr>
              <w:instrText xml:space="preserve"> PAGEREF _Toc427672745 \h </w:instrText>
            </w:r>
            <w:r w:rsidR="00721FFF">
              <w:rPr>
                <w:noProof/>
                <w:webHidden/>
              </w:rPr>
            </w:r>
            <w:r w:rsidR="00721FFF">
              <w:rPr>
                <w:noProof/>
                <w:webHidden/>
              </w:rPr>
              <w:fldChar w:fldCharType="separate"/>
            </w:r>
            <w:r w:rsidR="00721FFF">
              <w:rPr>
                <w:noProof/>
                <w:webHidden/>
              </w:rPr>
              <w:t>13</w:t>
            </w:r>
            <w:r w:rsidR="00721FFF">
              <w:rPr>
                <w:noProof/>
                <w:webHidden/>
              </w:rPr>
              <w:fldChar w:fldCharType="end"/>
            </w:r>
          </w:hyperlink>
        </w:p>
        <w:p w14:paraId="7D258089" w14:textId="77777777" w:rsidR="00721FFF" w:rsidRDefault="007710B3">
          <w:pPr>
            <w:pStyle w:val="TOC3"/>
            <w:rPr>
              <w:rFonts w:asciiTheme="minorHAnsi" w:eastAsiaTheme="minorEastAsia" w:hAnsiTheme="minorHAnsi" w:cstheme="minorBidi"/>
              <w:noProof/>
              <w:color w:val="auto"/>
            </w:rPr>
          </w:pPr>
          <w:hyperlink w:anchor="_Toc427672746" w:history="1">
            <w:r w:rsidR="00721FFF" w:rsidRPr="002B5FE5">
              <w:rPr>
                <w:rStyle w:val="Hyperlink"/>
                <w:rFonts w:eastAsia="Calibri"/>
                <w:noProof/>
              </w:rPr>
              <w:t>5.1.1 Direct evidence of aflatoxin contamination in groundnut and groundnut products</w:t>
            </w:r>
            <w:r w:rsidR="00721FFF">
              <w:rPr>
                <w:noProof/>
                <w:webHidden/>
              </w:rPr>
              <w:tab/>
            </w:r>
            <w:r w:rsidR="00721FFF">
              <w:rPr>
                <w:noProof/>
                <w:webHidden/>
              </w:rPr>
              <w:fldChar w:fldCharType="begin"/>
            </w:r>
            <w:r w:rsidR="00721FFF">
              <w:rPr>
                <w:noProof/>
                <w:webHidden/>
              </w:rPr>
              <w:instrText xml:space="preserve"> PAGEREF _Toc427672746 \h </w:instrText>
            </w:r>
            <w:r w:rsidR="00721FFF">
              <w:rPr>
                <w:noProof/>
                <w:webHidden/>
              </w:rPr>
            </w:r>
            <w:r w:rsidR="00721FFF">
              <w:rPr>
                <w:noProof/>
                <w:webHidden/>
              </w:rPr>
              <w:fldChar w:fldCharType="separate"/>
            </w:r>
            <w:r w:rsidR="00721FFF">
              <w:rPr>
                <w:noProof/>
                <w:webHidden/>
              </w:rPr>
              <w:t>14</w:t>
            </w:r>
            <w:r w:rsidR="00721FFF">
              <w:rPr>
                <w:noProof/>
                <w:webHidden/>
              </w:rPr>
              <w:fldChar w:fldCharType="end"/>
            </w:r>
          </w:hyperlink>
        </w:p>
        <w:p w14:paraId="22C0FD2F" w14:textId="77777777" w:rsidR="00721FFF" w:rsidRDefault="007710B3">
          <w:pPr>
            <w:pStyle w:val="TOC3"/>
            <w:rPr>
              <w:rFonts w:asciiTheme="minorHAnsi" w:eastAsiaTheme="minorEastAsia" w:hAnsiTheme="minorHAnsi" w:cstheme="minorBidi"/>
              <w:noProof/>
              <w:color w:val="auto"/>
            </w:rPr>
          </w:pPr>
          <w:hyperlink w:anchor="_Toc427672747" w:history="1">
            <w:r w:rsidR="00721FFF" w:rsidRPr="002B5FE5">
              <w:rPr>
                <w:rStyle w:val="Hyperlink"/>
                <w:rFonts w:eastAsia="Calibri"/>
                <w:noProof/>
              </w:rPr>
              <w:t>5.1.2 Direct evidence of aflatoxin contamination in maize</w:t>
            </w:r>
            <w:r w:rsidR="00721FFF">
              <w:rPr>
                <w:noProof/>
                <w:webHidden/>
              </w:rPr>
              <w:tab/>
            </w:r>
            <w:r w:rsidR="00721FFF">
              <w:rPr>
                <w:noProof/>
                <w:webHidden/>
              </w:rPr>
              <w:fldChar w:fldCharType="begin"/>
            </w:r>
            <w:r w:rsidR="00721FFF">
              <w:rPr>
                <w:noProof/>
                <w:webHidden/>
              </w:rPr>
              <w:instrText xml:space="preserve"> PAGEREF _Toc427672747 \h </w:instrText>
            </w:r>
            <w:r w:rsidR="00721FFF">
              <w:rPr>
                <w:noProof/>
                <w:webHidden/>
              </w:rPr>
            </w:r>
            <w:r w:rsidR="00721FFF">
              <w:rPr>
                <w:noProof/>
                <w:webHidden/>
              </w:rPr>
              <w:fldChar w:fldCharType="separate"/>
            </w:r>
            <w:r w:rsidR="00721FFF">
              <w:rPr>
                <w:noProof/>
                <w:webHidden/>
              </w:rPr>
              <w:t>16</w:t>
            </w:r>
            <w:r w:rsidR="00721FFF">
              <w:rPr>
                <w:noProof/>
                <w:webHidden/>
              </w:rPr>
              <w:fldChar w:fldCharType="end"/>
            </w:r>
          </w:hyperlink>
        </w:p>
        <w:p w14:paraId="60BDBFD3" w14:textId="77777777" w:rsidR="00721FFF" w:rsidRDefault="007710B3">
          <w:pPr>
            <w:pStyle w:val="TOC3"/>
            <w:rPr>
              <w:rFonts w:asciiTheme="minorHAnsi" w:eastAsiaTheme="minorEastAsia" w:hAnsiTheme="minorHAnsi" w:cstheme="minorBidi"/>
              <w:noProof/>
              <w:color w:val="auto"/>
            </w:rPr>
          </w:pPr>
          <w:hyperlink w:anchor="_Toc427672748" w:history="1">
            <w:r w:rsidR="00721FFF" w:rsidRPr="002B5FE5">
              <w:rPr>
                <w:rStyle w:val="Hyperlink"/>
                <w:rFonts w:eastAsia="Calibri"/>
                <w:noProof/>
              </w:rPr>
              <w:t>5.1.3 Direct evidence of aflatoxin contamination in rice</w:t>
            </w:r>
            <w:r w:rsidR="00721FFF">
              <w:rPr>
                <w:noProof/>
                <w:webHidden/>
              </w:rPr>
              <w:tab/>
            </w:r>
            <w:r w:rsidR="00721FFF">
              <w:rPr>
                <w:noProof/>
                <w:webHidden/>
              </w:rPr>
              <w:fldChar w:fldCharType="begin"/>
            </w:r>
            <w:r w:rsidR="00721FFF">
              <w:rPr>
                <w:noProof/>
                <w:webHidden/>
              </w:rPr>
              <w:instrText xml:space="preserve"> PAGEREF _Toc427672748 \h </w:instrText>
            </w:r>
            <w:r w:rsidR="00721FFF">
              <w:rPr>
                <w:noProof/>
                <w:webHidden/>
              </w:rPr>
            </w:r>
            <w:r w:rsidR="00721FFF">
              <w:rPr>
                <w:noProof/>
                <w:webHidden/>
              </w:rPr>
              <w:fldChar w:fldCharType="separate"/>
            </w:r>
            <w:r w:rsidR="00721FFF">
              <w:rPr>
                <w:noProof/>
                <w:webHidden/>
              </w:rPr>
              <w:t>16</w:t>
            </w:r>
            <w:r w:rsidR="00721FFF">
              <w:rPr>
                <w:noProof/>
                <w:webHidden/>
              </w:rPr>
              <w:fldChar w:fldCharType="end"/>
            </w:r>
          </w:hyperlink>
        </w:p>
        <w:p w14:paraId="6A74F3FE" w14:textId="77777777" w:rsidR="00721FFF" w:rsidRDefault="007710B3">
          <w:pPr>
            <w:pStyle w:val="TOC3"/>
            <w:rPr>
              <w:rFonts w:asciiTheme="minorHAnsi" w:eastAsiaTheme="minorEastAsia" w:hAnsiTheme="minorHAnsi" w:cstheme="minorBidi"/>
              <w:noProof/>
              <w:color w:val="auto"/>
            </w:rPr>
          </w:pPr>
          <w:hyperlink w:anchor="_Toc427672749" w:history="1">
            <w:r w:rsidR="00721FFF" w:rsidRPr="002B5FE5">
              <w:rPr>
                <w:rStyle w:val="Hyperlink"/>
                <w:noProof/>
              </w:rPr>
              <w:t>5.1.4 Aflatoxin contamination in cooked foods</w:t>
            </w:r>
            <w:r w:rsidR="00721FFF">
              <w:rPr>
                <w:noProof/>
                <w:webHidden/>
              </w:rPr>
              <w:tab/>
            </w:r>
            <w:r w:rsidR="00721FFF">
              <w:rPr>
                <w:noProof/>
                <w:webHidden/>
              </w:rPr>
              <w:fldChar w:fldCharType="begin"/>
            </w:r>
            <w:r w:rsidR="00721FFF">
              <w:rPr>
                <w:noProof/>
                <w:webHidden/>
              </w:rPr>
              <w:instrText xml:space="preserve"> PAGEREF _Toc427672749 \h </w:instrText>
            </w:r>
            <w:r w:rsidR="00721FFF">
              <w:rPr>
                <w:noProof/>
                <w:webHidden/>
              </w:rPr>
            </w:r>
            <w:r w:rsidR="00721FFF">
              <w:rPr>
                <w:noProof/>
                <w:webHidden/>
              </w:rPr>
              <w:fldChar w:fldCharType="separate"/>
            </w:r>
            <w:r w:rsidR="00721FFF">
              <w:rPr>
                <w:noProof/>
                <w:webHidden/>
              </w:rPr>
              <w:t>16</w:t>
            </w:r>
            <w:r w:rsidR="00721FFF">
              <w:rPr>
                <w:noProof/>
                <w:webHidden/>
              </w:rPr>
              <w:fldChar w:fldCharType="end"/>
            </w:r>
          </w:hyperlink>
        </w:p>
        <w:p w14:paraId="23C13828"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50" w:history="1">
            <w:r w:rsidR="00721FFF" w:rsidRPr="002B5FE5">
              <w:rPr>
                <w:rStyle w:val="Hyperlink"/>
                <w:noProof/>
              </w:rPr>
              <w:t>6.0 Risk characterization of aflatoxin contamination</w:t>
            </w:r>
            <w:r w:rsidR="00721FFF">
              <w:rPr>
                <w:noProof/>
                <w:webHidden/>
              </w:rPr>
              <w:tab/>
            </w:r>
            <w:r w:rsidR="00721FFF">
              <w:rPr>
                <w:noProof/>
                <w:webHidden/>
              </w:rPr>
              <w:fldChar w:fldCharType="begin"/>
            </w:r>
            <w:r w:rsidR="00721FFF">
              <w:rPr>
                <w:noProof/>
                <w:webHidden/>
              </w:rPr>
              <w:instrText xml:space="preserve"> PAGEREF _Toc427672750 \h </w:instrText>
            </w:r>
            <w:r w:rsidR="00721FFF">
              <w:rPr>
                <w:noProof/>
                <w:webHidden/>
              </w:rPr>
            </w:r>
            <w:r w:rsidR="00721FFF">
              <w:rPr>
                <w:noProof/>
                <w:webHidden/>
              </w:rPr>
              <w:fldChar w:fldCharType="separate"/>
            </w:r>
            <w:r w:rsidR="00721FFF">
              <w:rPr>
                <w:noProof/>
                <w:webHidden/>
              </w:rPr>
              <w:t>17</w:t>
            </w:r>
            <w:r w:rsidR="00721FFF">
              <w:rPr>
                <w:noProof/>
                <w:webHidden/>
              </w:rPr>
              <w:fldChar w:fldCharType="end"/>
            </w:r>
          </w:hyperlink>
        </w:p>
        <w:p w14:paraId="46942B0D" w14:textId="77777777" w:rsidR="00721FFF" w:rsidRDefault="007710B3">
          <w:pPr>
            <w:pStyle w:val="TOC2"/>
            <w:rPr>
              <w:rFonts w:asciiTheme="minorHAnsi" w:eastAsiaTheme="minorEastAsia" w:hAnsiTheme="minorHAnsi" w:cstheme="minorBidi"/>
              <w:noProof/>
              <w:color w:val="auto"/>
            </w:rPr>
          </w:pPr>
          <w:hyperlink w:anchor="_Toc427672751" w:history="1">
            <w:r w:rsidR="00721FFF" w:rsidRPr="002B5FE5">
              <w:rPr>
                <w:rStyle w:val="Hyperlink"/>
                <w:noProof/>
              </w:rPr>
              <w:t>6.1 Final uses of groundnuts</w:t>
            </w:r>
            <w:r w:rsidR="00721FFF">
              <w:rPr>
                <w:noProof/>
                <w:webHidden/>
              </w:rPr>
              <w:tab/>
            </w:r>
            <w:r w:rsidR="00721FFF">
              <w:rPr>
                <w:noProof/>
                <w:webHidden/>
              </w:rPr>
              <w:fldChar w:fldCharType="begin"/>
            </w:r>
            <w:r w:rsidR="00721FFF">
              <w:rPr>
                <w:noProof/>
                <w:webHidden/>
              </w:rPr>
              <w:instrText xml:space="preserve"> PAGEREF _Toc427672751 \h </w:instrText>
            </w:r>
            <w:r w:rsidR="00721FFF">
              <w:rPr>
                <w:noProof/>
                <w:webHidden/>
              </w:rPr>
            </w:r>
            <w:r w:rsidR="00721FFF">
              <w:rPr>
                <w:noProof/>
                <w:webHidden/>
              </w:rPr>
              <w:fldChar w:fldCharType="separate"/>
            </w:r>
            <w:r w:rsidR="00721FFF">
              <w:rPr>
                <w:noProof/>
                <w:webHidden/>
              </w:rPr>
              <w:t>17</w:t>
            </w:r>
            <w:r w:rsidR="00721FFF">
              <w:rPr>
                <w:noProof/>
                <w:webHidden/>
              </w:rPr>
              <w:fldChar w:fldCharType="end"/>
            </w:r>
          </w:hyperlink>
        </w:p>
        <w:p w14:paraId="3D44675E" w14:textId="77777777" w:rsidR="00721FFF" w:rsidRDefault="007710B3">
          <w:pPr>
            <w:pStyle w:val="TOC2"/>
            <w:rPr>
              <w:rFonts w:asciiTheme="minorHAnsi" w:eastAsiaTheme="minorEastAsia" w:hAnsiTheme="minorHAnsi" w:cstheme="minorBidi"/>
              <w:noProof/>
              <w:color w:val="auto"/>
            </w:rPr>
          </w:pPr>
          <w:hyperlink w:anchor="_Toc427672752" w:history="1">
            <w:r w:rsidR="00721FFF" w:rsidRPr="002B5FE5">
              <w:rPr>
                <w:rStyle w:val="Hyperlink"/>
                <w:noProof/>
              </w:rPr>
              <w:t>6.2 Final uses of maize</w:t>
            </w:r>
            <w:r w:rsidR="00721FFF">
              <w:rPr>
                <w:noProof/>
                <w:webHidden/>
              </w:rPr>
              <w:tab/>
            </w:r>
            <w:r w:rsidR="00721FFF">
              <w:rPr>
                <w:noProof/>
                <w:webHidden/>
              </w:rPr>
              <w:fldChar w:fldCharType="begin"/>
            </w:r>
            <w:r w:rsidR="00721FFF">
              <w:rPr>
                <w:noProof/>
                <w:webHidden/>
              </w:rPr>
              <w:instrText xml:space="preserve"> PAGEREF _Toc427672752 \h </w:instrText>
            </w:r>
            <w:r w:rsidR="00721FFF">
              <w:rPr>
                <w:noProof/>
                <w:webHidden/>
              </w:rPr>
            </w:r>
            <w:r w:rsidR="00721FFF">
              <w:rPr>
                <w:noProof/>
                <w:webHidden/>
              </w:rPr>
              <w:fldChar w:fldCharType="separate"/>
            </w:r>
            <w:r w:rsidR="00721FFF">
              <w:rPr>
                <w:noProof/>
                <w:webHidden/>
              </w:rPr>
              <w:t>18</w:t>
            </w:r>
            <w:r w:rsidR="00721FFF">
              <w:rPr>
                <w:noProof/>
                <w:webHidden/>
              </w:rPr>
              <w:fldChar w:fldCharType="end"/>
            </w:r>
          </w:hyperlink>
        </w:p>
        <w:p w14:paraId="043E4C3B" w14:textId="77777777" w:rsidR="00721FFF" w:rsidRDefault="007710B3">
          <w:pPr>
            <w:pStyle w:val="TOC2"/>
            <w:rPr>
              <w:rFonts w:asciiTheme="minorHAnsi" w:eastAsiaTheme="minorEastAsia" w:hAnsiTheme="minorHAnsi" w:cstheme="minorBidi"/>
              <w:noProof/>
              <w:color w:val="auto"/>
            </w:rPr>
          </w:pPr>
          <w:hyperlink w:anchor="_Toc427672753" w:history="1">
            <w:r w:rsidR="00721FFF" w:rsidRPr="002B5FE5">
              <w:rPr>
                <w:rStyle w:val="Hyperlink"/>
                <w:noProof/>
              </w:rPr>
              <w:t>6.3 Final uses of rice</w:t>
            </w:r>
            <w:r w:rsidR="00721FFF">
              <w:rPr>
                <w:noProof/>
                <w:webHidden/>
              </w:rPr>
              <w:tab/>
            </w:r>
            <w:r w:rsidR="00721FFF">
              <w:rPr>
                <w:noProof/>
                <w:webHidden/>
              </w:rPr>
              <w:fldChar w:fldCharType="begin"/>
            </w:r>
            <w:r w:rsidR="00721FFF">
              <w:rPr>
                <w:noProof/>
                <w:webHidden/>
              </w:rPr>
              <w:instrText xml:space="preserve"> PAGEREF _Toc427672753 \h </w:instrText>
            </w:r>
            <w:r w:rsidR="00721FFF">
              <w:rPr>
                <w:noProof/>
                <w:webHidden/>
              </w:rPr>
            </w:r>
            <w:r w:rsidR="00721FFF">
              <w:rPr>
                <w:noProof/>
                <w:webHidden/>
              </w:rPr>
              <w:fldChar w:fldCharType="separate"/>
            </w:r>
            <w:r w:rsidR="00721FFF">
              <w:rPr>
                <w:noProof/>
                <w:webHidden/>
              </w:rPr>
              <w:t>18</w:t>
            </w:r>
            <w:r w:rsidR="00721FFF">
              <w:rPr>
                <w:noProof/>
                <w:webHidden/>
              </w:rPr>
              <w:fldChar w:fldCharType="end"/>
            </w:r>
          </w:hyperlink>
        </w:p>
        <w:p w14:paraId="64FF270F" w14:textId="77777777" w:rsidR="00721FFF" w:rsidRDefault="007710B3">
          <w:pPr>
            <w:pStyle w:val="TOC2"/>
            <w:rPr>
              <w:rFonts w:asciiTheme="minorHAnsi" w:eastAsiaTheme="minorEastAsia" w:hAnsiTheme="minorHAnsi" w:cstheme="minorBidi"/>
              <w:noProof/>
              <w:color w:val="auto"/>
            </w:rPr>
          </w:pPr>
          <w:hyperlink w:anchor="_Toc427672754" w:history="1">
            <w:r w:rsidR="00721FFF" w:rsidRPr="002B5FE5">
              <w:rPr>
                <w:rStyle w:val="Hyperlink"/>
                <w:noProof/>
              </w:rPr>
              <w:t>6.4 Risk of contamination along the groundnut, maize and rice value chains</w:t>
            </w:r>
            <w:r w:rsidR="00721FFF">
              <w:rPr>
                <w:noProof/>
                <w:webHidden/>
              </w:rPr>
              <w:tab/>
            </w:r>
            <w:r w:rsidR="00721FFF">
              <w:rPr>
                <w:noProof/>
                <w:webHidden/>
              </w:rPr>
              <w:fldChar w:fldCharType="begin"/>
            </w:r>
            <w:r w:rsidR="00721FFF">
              <w:rPr>
                <w:noProof/>
                <w:webHidden/>
              </w:rPr>
              <w:instrText xml:space="preserve"> PAGEREF _Toc427672754 \h </w:instrText>
            </w:r>
            <w:r w:rsidR="00721FFF">
              <w:rPr>
                <w:noProof/>
                <w:webHidden/>
              </w:rPr>
            </w:r>
            <w:r w:rsidR="00721FFF">
              <w:rPr>
                <w:noProof/>
                <w:webHidden/>
              </w:rPr>
              <w:fldChar w:fldCharType="separate"/>
            </w:r>
            <w:r w:rsidR="00721FFF">
              <w:rPr>
                <w:noProof/>
                <w:webHidden/>
              </w:rPr>
              <w:t>19</w:t>
            </w:r>
            <w:r w:rsidR="00721FFF">
              <w:rPr>
                <w:noProof/>
                <w:webHidden/>
              </w:rPr>
              <w:fldChar w:fldCharType="end"/>
            </w:r>
          </w:hyperlink>
        </w:p>
        <w:p w14:paraId="2B8A4A0F" w14:textId="77777777" w:rsidR="00721FFF" w:rsidRDefault="007710B3">
          <w:pPr>
            <w:pStyle w:val="TOC3"/>
            <w:rPr>
              <w:rFonts w:asciiTheme="minorHAnsi" w:eastAsiaTheme="minorEastAsia" w:hAnsiTheme="minorHAnsi" w:cstheme="minorBidi"/>
              <w:noProof/>
              <w:color w:val="auto"/>
            </w:rPr>
          </w:pPr>
          <w:hyperlink w:anchor="_Toc427672755" w:history="1">
            <w:r w:rsidR="00721FFF" w:rsidRPr="002B5FE5">
              <w:rPr>
                <w:rStyle w:val="Hyperlink"/>
                <w:noProof/>
              </w:rPr>
              <w:t>6.4.1 Risk of contamination at pre-harvest</w:t>
            </w:r>
            <w:r w:rsidR="00721FFF">
              <w:rPr>
                <w:noProof/>
                <w:webHidden/>
              </w:rPr>
              <w:tab/>
            </w:r>
            <w:r w:rsidR="00721FFF">
              <w:rPr>
                <w:noProof/>
                <w:webHidden/>
              </w:rPr>
              <w:fldChar w:fldCharType="begin"/>
            </w:r>
            <w:r w:rsidR="00721FFF">
              <w:rPr>
                <w:noProof/>
                <w:webHidden/>
              </w:rPr>
              <w:instrText xml:space="preserve"> PAGEREF _Toc427672755 \h </w:instrText>
            </w:r>
            <w:r w:rsidR="00721FFF">
              <w:rPr>
                <w:noProof/>
                <w:webHidden/>
              </w:rPr>
            </w:r>
            <w:r w:rsidR="00721FFF">
              <w:rPr>
                <w:noProof/>
                <w:webHidden/>
              </w:rPr>
              <w:fldChar w:fldCharType="separate"/>
            </w:r>
            <w:r w:rsidR="00721FFF">
              <w:rPr>
                <w:noProof/>
                <w:webHidden/>
              </w:rPr>
              <w:t>19</w:t>
            </w:r>
            <w:r w:rsidR="00721FFF">
              <w:rPr>
                <w:noProof/>
                <w:webHidden/>
              </w:rPr>
              <w:fldChar w:fldCharType="end"/>
            </w:r>
          </w:hyperlink>
        </w:p>
        <w:p w14:paraId="7347F298" w14:textId="77777777" w:rsidR="00721FFF" w:rsidRDefault="007710B3">
          <w:pPr>
            <w:pStyle w:val="TOC3"/>
            <w:rPr>
              <w:rFonts w:asciiTheme="minorHAnsi" w:eastAsiaTheme="minorEastAsia" w:hAnsiTheme="minorHAnsi" w:cstheme="minorBidi"/>
              <w:noProof/>
              <w:color w:val="auto"/>
            </w:rPr>
          </w:pPr>
          <w:hyperlink w:anchor="_Toc427672756" w:history="1">
            <w:r w:rsidR="00721FFF" w:rsidRPr="002B5FE5">
              <w:rPr>
                <w:rStyle w:val="Hyperlink"/>
                <w:noProof/>
              </w:rPr>
              <w:t>6.4.2 Risk of contamination at harvest and post-harvest</w:t>
            </w:r>
            <w:r w:rsidR="00721FFF">
              <w:rPr>
                <w:noProof/>
                <w:webHidden/>
              </w:rPr>
              <w:tab/>
            </w:r>
            <w:r w:rsidR="00721FFF">
              <w:rPr>
                <w:noProof/>
                <w:webHidden/>
              </w:rPr>
              <w:fldChar w:fldCharType="begin"/>
            </w:r>
            <w:r w:rsidR="00721FFF">
              <w:rPr>
                <w:noProof/>
                <w:webHidden/>
              </w:rPr>
              <w:instrText xml:space="preserve"> PAGEREF _Toc427672756 \h </w:instrText>
            </w:r>
            <w:r w:rsidR="00721FFF">
              <w:rPr>
                <w:noProof/>
                <w:webHidden/>
              </w:rPr>
            </w:r>
            <w:r w:rsidR="00721FFF">
              <w:rPr>
                <w:noProof/>
                <w:webHidden/>
              </w:rPr>
              <w:fldChar w:fldCharType="separate"/>
            </w:r>
            <w:r w:rsidR="00721FFF">
              <w:rPr>
                <w:noProof/>
                <w:webHidden/>
              </w:rPr>
              <w:t>20</w:t>
            </w:r>
            <w:r w:rsidR="00721FFF">
              <w:rPr>
                <w:noProof/>
                <w:webHidden/>
              </w:rPr>
              <w:fldChar w:fldCharType="end"/>
            </w:r>
          </w:hyperlink>
        </w:p>
        <w:p w14:paraId="2A32A68F" w14:textId="77777777" w:rsidR="00721FFF" w:rsidRDefault="007710B3">
          <w:pPr>
            <w:pStyle w:val="TOC3"/>
            <w:rPr>
              <w:rFonts w:asciiTheme="minorHAnsi" w:eastAsiaTheme="minorEastAsia" w:hAnsiTheme="minorHAnsi" w:cstheme="minorBidi"/>
              <w:noProof/>
              <w:color w:val="auto"/>
            </w:rPr>
          </w:pPr>
          <w:hyperlink w:anchor="_Toc427672757" w:history="1">
            <w:r w:rsidR="00721FFF" w:rsidRPr="002B5FE5">
              <w:rPr>
                <w:rStyle w:val="Hyperlink"/>
                <w:noProof/>
              </w:rPr>
              <w:t>6.4.3 Risk of contamination in storage</w:t>
            </w:r>
            <w:r w:rsidR="00721FFF">
              <w:rPr>
                <w:noProof/>
                <w:webHidden/>
              </w:rPr>
              <w:tab/>
            </w:r>
            <w:r w:rsidR="00721FFF">
              <w:rPr>
                <w:noProof/>
                <w:webHidden/>
              </w:rPr>
              <w:fldChar w:fldCharType="begin"/>
            </w:r>
            <w:r w:rsidR="00721FFF">
              <w:rPr>
                <w:noProof/>
                <w:webHidden/>
              </w:rPr>
              <w:instrText xml:space="preserve"> PAGEREF _Toc427672757 \h </w:instrText>
            </w:r>
            <w:r w:rsidR="00721FFF">
              <w:rPr>
                <w:noProof/>
                <w:webHidden/>
              </w:rPr>
            </w:r>
            <w:r w:rsidR="00721FFF">
              <w:rPr>
                <w:noProof/>
                <w:webHidden/>
              </w:rPr>
              <w:fldChar w:fldCharType="separate"/>
            </w:r>
            <w:r w:rsidR="00721FFF">
              <w:rPr>
                <w:noProof/>
                <w:webHidden/>
              </w:rPr>
              <w:t>21</w:t>
            </w:r>
            <w:r w:rsidR="00721FFF">
              <w:rPr>
                <w:noProof/>
                <w:webHidden/>
              </w:rPr>
              <w:fldChar w:fldCharType="end"/>
            </w:r>
          </w:hyperlink>
        </w:p>
        <w:p w14:paraId="742C80CE" w14:textId="77777777" w:rsidR="00721FFF" w:rsidRDefault="007710B3">
          <w:pPr>
            <w:pStyle w:val="TOC3"/>
            <w:rPr>
              <w:rFonts w:asciiTheme="minorHAnsi" w:eastAsiaTheme="minorEastAsia" w:hAnsiTheme="minorHAnsi" w:cstheme="minorBidi"/>
              <w:noProof/>
              <w:color w:val="auto"/>
            </w:rPr>
          </w:pPr>
          <w:hyperlink w:anchor="_Toc427672758" w:history="1">
            <w:r w:rsidR="00721FFF" w:rsidRPr="002B5FE5">
              <w:rPr>
                <w:rStyle w:val="Hyperlink"/>
                <w:noProof/>
              </w:rPr>
              <w:t>6.4.4 Risk of contamination during processing</w:t>
            </w:r>
            <w:r w:rsidR="00721FFF">
              <w:rPr>
                <w:noProof/>
                <w:webHidden/>
              </w:rPr>
              <w:tab/>
            </w:r>
            <w:r w:rsidR="00721FFF">
              <w:rPr>
                <w:noProof/>
                <w:webHidden/>
              </w:rPr>
              <w:fldChar w:fldCharType="begin"/>
            </w:r>
            <w:r w:rsidR="00721FFF">
              <w:rPr>
                <w:noProof/>
                <w:webHidden/>
              </w:rPr>
              <w:instrText xml:space="preserve"> PAGEREF _Toc427672758 \h </w:instrText>
            </w:r>
            <w:r w:rsidR="00721FFF">
              <w:rPr>
                <w:noProof/>
                <w:webHidden/>
              </w:rPr>
            </w:r>
            <w:r w:rsidR="00721FFF">
              <w:rPr>
                <w:noProof/>
                <w:webHidden/>
              </w:rPr>
              <w:fldChar w:fldCharType="separate"/>
            </w:r>
            <w:r w:rsidR="00721FFF">
              <w:rPr>
                <w:noProof/>
                <w:webHidden/>
              </w:rPr>
              <w:t>22</w:t>
            </w:r>
            <w:r w:rsidR="00721FFF">
              <w:rPr>
                <w:noProof/>
                <w:webHidden/>
              </w:rPr>
              <w:fldChar w:fldCharType="end"/>
            </w:r>
          </w:hyperlink>
        </w:p>
        <w:p w14:paraId="6A565C43" w14:textId="77777777" w:rsidR="00721FFF" w:rsidRDefault="007710B3">
          <w:pPr>
            <w:pStyle w:val="TOC3"/>
            <w:rPr>
              <w:rFonts w:asciiTheme="minorHAnsi" w:eastAsiaTheme="minorEastAsia" w:hAnsiTheme="minorHAnsi" w:cstheme="minorBidi"/>
              <w:noProof/>
              <w:color w:val="auto"/>
            </w:rPr>
          </w:pPr>
          <w:hyperlink w:anchor="_Toc427672759" w:history="1">
            <w:r w:rsidR="00721FFF" w:rsidRPr="002B5FE5">
              <w:rPr>
                <w:rStyle w:val="Hyperlink"/>
                <w:noProof/>
              </w:rPr>
              <w:t>6.4.5 Risk of contamination during transportation</w:t>
            </w:r>
            <w:r w:rsidR="00721FFF">
              <w:rPr>
                <w:noProof/>
                <w:webHidden/>
              </w:rPr>
              <w:tab/>
            </w:r>
            <w:r w:rsidR="00721FFF">
              <w:rPr>
                <w:noProof/>
                <w:webHidden/>
              </w:rPr>
              <w:fldChar w:fldCharType="begin"/>
            </w:r>
            <w:r w:rsidR="00721FFF">
              <w:rPr>
                <w:noProof/>
                <w:webHidden/>
              </w:rPr>
              <w:instrText xml:space="preserve"> PAGEREF _Toc427672759 \h </w:instrText>
            </w:r>
            <w:r w:rsidR="00721FFF">
              <w:rPr>
                <w:noProof/>
                <w:webHidden/>
              </w:rPr>
            </w:r>
            <w:r w:rsidR="00721FFF">
              <w:rPr>
                <w:noProof/>
                <w:webHidden/>
              </w:rPr>
              <w:fldChar w:fldCharType="separate"/>
            </w:r>
            <w:r w:rsidR="00721FFF">
              <w:rPr>
                <w:noProof/>
                <w:webHidden/>
              </w:rPr>
              <w:t>23</w:t>
            </w:r>
            <w:r w:rsidR="00721FFF">
              <w:rPr>
                <w:noProof/>
                <w:webHidden/>
              </w:rPr>
              <w:fldChar w:fldCharType="end"/>
            </w:r>
          </w:hyperlink>
        </w:p>
        <w:p w14:paraId="0E1E793E" w14:textId="77777777" w:rsidR="00721FFF" w:rsidRDefault="007710B3">
          <w:pPr>
            <w:pStyle w:val="TOC3"/>
            <w:rPr>
              <w:rFonts w:asciiTheme="minorHAnsi" w:eastAsiaTheme="minorEastAsia" w:hAnsiTheme="minorHAnsi" w:cstheme="minorBidi"/>
              <w:noProof/>
              <w:color w:val="auto"/>
            </w:rPr>
          </w:pPr>
          <w:hyperlink w:anchor="_Toc427672760" w:history="1">
            <w:r w:rsidR="00721FFF" w:rsidRPr="002B5FE5">
              <w:rPr>
                <w:rStyle w:val="Hyperlink"/>
                <w:noProof/>
              </w:rPr>
              <w:t>6.4.6 Risks of contamination in domestic and international trade</w:t>
            </w:r>
            <w:r w:rsidR="00721FFF">
              <w:rPr>
                <w:noProof/>
                <w:webHidden/>
              </w:rPr>
              <w:tab/>
            </w:r>
            <w:r w:rsidR="00721FFF">
              <w:rPr>
                <w:noProof/>
                <w:webHidden/>
              </w:rPr>
              <w:fldChar w:fldCharType="begin"/>
            </w:r>
            <w:r w:rsidR="00721FFF">
              <w:rPr>
                <w:noProof/>
                <w:webHidden/>
              </w:rPr>
              <w:instrText xml:space="preserve"> PAGEREF _Toc427672760 \h </w:instrText>
            </w:r>
            <w:r w:rsidR="00721FFF">
              <w:rPr>
                <w:noProof/>
                <w:webHidden/>
              </w:rPr>
            </w:r>
            <w:r w:rsidR="00721FFF">
              <w:rPr>
                <w:noProof/>
                <w:webHidden/>
              </w:rPr>
              <w:fldChar w:fldCharType="separate"/>
            </w:r>
            <w:r w:rsidR="00721FFF">
              <w:rPr>
                <w:noProof/>
                <w:webHidden/>
              </w:rPr>
              <w:t>23</w:t>
            </w:r>
            <w:r w:rsidR="00721FFF">
              <w:rPr>
                <w:noProof/>
                <w:webHidden/>
              </w:rPr>
              <w:fldChar w:fldCharType="end"/>
            </w:r>
          </w:hyperlink>
        </w:p>
        <w:p w14:paraId="421DFF83" w14:textId="77777777" w:rsidR="00721FFF" w:rsidRDefault="007710B3">
          <w:pPr>
            <w:pStyle w:val="TOC3"/>
            <w:rPr>
              <w:rFonts w:asciiTheme="minorHAnsi" w:eastAsiaTheme="minorEastAsia" w:hAnsiTheme="minorHAnsi" w:cstheme="minorBidi"/>
              <w:noProof/>
              <w:color w:val="auto"/>
            </w:rPr>
          </w:pPr>
          <w:hyperlink w:anchor="_Toc427672761" w:history="1">
            <w:r w:rsidR="00721FFF" w:rsidRPr="002B5FE5">
              <w:rPr>
                <w:rStyle w:val="Hyperlink"/>
                <w:noProof/>
              </w:rPr>
              <w:t>6.4.7 Risk of contamination of livestock feeds</w:t>
            </w:r>
            <w:r w:rsidR="00721FFF">
              <w:rPr>
                <w:noProof/>
                <w:webHidden/>
              </w:rPr>
              <w:tab/>
            </w:r>
            <w:r w:rsidR="00721FFF">
              <w:rPr>
                <w:noProof/>
                <w:webHidden/>
              </w:rPr>
              <w:fldChar w:fldCharType="begin"/>
            </w:r>
            <w:r w:rsidR="00721FFF">
              <w:rPr>
                <w:noProof/>
                <w:webHidden/>
              </w:rPr>
              <w:instrText xml:space="preserve"> PAGEREF _Toc427672761 \h </w:instrText>
            </w:r>
            <w:r w:rsidR="00721FFF">
              <w:rPr>
                <w:noProof/>
                <w:webHidden/>
              </w:rPr>
            </w:r>
            <w:r w:rsidR="00721FFF">
              <w:rPr>
                <w:noProof/>
                <w:webHidden/>
              </w:rPr>
              <w:fldChar w:fldCharType="separate"/>
            </w:r>
            <w:r w:rsidR="00721FFF">
              <w:rPr>
                <w:noProof/>
                <w:webHidden/>
              </w:rPr>
              <w:t>24</w:t>
            </w:r>
            <w:r w:rsidR="00721FFF">
              <w:rPr>
                <w:noProof/>
                <w:webHidden/>
              </w:rPr>
              <w:fldChar w:fldCharType="end"/>
            </w:r>
          </w:hyperlink>
        </w:p>
        <w:p w14:paraId="13E02314"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62" w:history="1">
            <w:r w:rsidR="00721FFF" w:rsidRPr="002B5FE5">
              <w:rPr>
                <w:rStyle w:val="Hyperlink"/>
                <w:noProof/>
              </w:rPr>
              <w:t>7.0 Awareness Levels</w:t>
            </w:r>
            <w:r w:rsidR="00721FFF">
              <w:rPr>
                <w:noProof/>
                <w:webHidden/>
              </w:rPr>
              <w:tab/>
            </w:r>
            <w:r w:rsidR="00721FFF">
              <w:rPr>
                <w:noProof/>
                <w:webHidden/>
              </w:rPr>
              <w:fldChar w:fldCharType="begin"/>
            </w:r>
            <w:r w:rsidR="00721FFF">
              <w:rPr>
                <w:noProof/>
                <w:webHidden/>
              </w:rPr>
              <w:instrText xml:space="preserve"> PAGEREF _Toc427672762 \h </w:instrText>
            </w:r>
            <w:r w:rsidR="00721FFF">
              <w:rPr>
                <w:noProof/>
                <w:webHidden/>
              </w:rPr>
            </w:r>
            <w:r w:rsidR="00721FFF">
              <w:rPr>
                <w:noProof/>
                <w:webHidden/>
              </w:rPr>
              <w:fldChar w:fldCharType="separate"/>
            </w:r>
            <w:r w:rsidR="00721FFF">
              <w:rPr>
                <w:noProof/>
                <w:webHidden/>
              </w:rPr>
              <w:t>25</w:t>
            </w:r>
            <w:r w:rsidR="00721FFF">
              <w:rPr>
                <w:noProof/>
                <w:webHidden/>
              </w:rPr>
              <w:fldChar w:fldCharType="end"/>
            </w:r>
          </w:hyperlink>
        </w:p>
        <w:p w14:paraId="18AE6B9E"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63" w:history="1">
            <w:r w:rsidR="00721FFF" w:rsidRPr="002B5FE5">
              <w:rPr>
                <w:rStyle w:val="Hyperlink"/>
                <w:noProof/>
              </w:rPr>
              <w:t>8.0 Economic Impacts Resulting from Aflatoxin Contamination</w:t>
            </w:r>
            <w:r w:rsidR="00721FFF">
              <w:rPr>
                <w:noProof/>
                <w:webHidden/>
              </w:rPr>
              <w:tab/>
            </w:r>
            <w:r w:rsidR="00721FFF">
              <w:rPr>
                <w:noProof/>
                <w:webHidden/>
              </w:rPr>
              <w:fldChar w:fldCharType="begin"/>
            </w:r>
            <w:r w:rsidR="00721FFF">
              <w:rPr>
                <w:noProof/>
                <w:webHidden/>
              </w:rPr>
              <w:instrText xml:space="preserve"> PAGEREF _Toc427672763 \h </w:instrText>
            </w:r>
            <w:r w:rsidR="00721FFF">
              <w:rPr>
                <w:noProof/>
                <w:webHidden/>
              </w:rPr>
            </w:r>
            <w:r w:rsidR="00721FFF">
              <w:rPr>
                <w:noProof/>
                <w:webHidden/>
              </w:rPr>
              <w:fldChar w:fldCharType="separate"/>
            </w:r>
            <w:r w:rsidR="00721FFF">
              <w:rPr>
                <w:noProof/>
                <w:webHidden/>
              </w:rPr>
              <w:t>26</w:t>
            </w:r>
            <w:r w:rsidR="00721FFF">
              <w:rPr>
                <w:noProof/>
                <w:webHidden/>
              </w:rPr>
              <w:fldChar w:fldCharType="end"/>
            </w:r>
          </w:hyperlink>
        </w:p>
        <w:p w14:paraId="76634C76" w14:textId="77777777" w:rsidR="00721FFF" w:rsidRDefault="007710B3">
          <w:pPr>
            <w:pStyle w:val="TOC2"/>
            <w:rPr>
              <w:rFonts w:asciiTheme="minorHAnsi" w:eastAsiaTheme="minorEastAsia" w:hAnsiTheme="minorHAnsi" w:cstheme="minorBidi"/>
              <w:noProof/>
              <w:color w:val="auto"/>
            </w:rPr>
          </w:pPr>
          <w:hyperlink w:anchor="_Toc427672764" w:history="1">
            <w:r w:rsidR="00721FFF" w:rsidRPr="002B5FE5">
              <w:rPr>
                <w:rStyle w:val="Hyperlink"/>
                <w:noProof/>
              </w:rPr>
              <w:t>8.1 Agriculture and Food Security</w:t>
            </w:r>
            <w:r w:rsidR="00721FFF">
              <w:rPr>
                <w:noProof/>
                <w:webHidden/>
              </w:rPr>
              <w:tab/>
            </w:r>
            <w:r w:rsidR="00721FFF">
              <w:rPr>
                <w:noProof/>
                <w:webHidden/>
              </w:rPr>
              <w:fldChar w:fldCharType="begin"/>
            </w:r>
            <w:r w:rsidR="00721FFF">
              <w:rPr>
                <w:noProof/>
                <w:webHidden/>
              </w:rPr>
              <w:instrText xml:space="preserve"> PAGEREF _Toc427672764 \h </w:instrText>
            </w:r>
            <w:r w:rsidR="00721FFF">
              <w:rPr>
                <w:noProof/>
                <w:webHidden/>
              </w:rPr>
            </w:r>
            <w:r w:rsidR="00721FFF">
              <w:rPr>
                <w:noProof/>
                <w:webHidden/>
              </w:rPr>
              <w:fldChar w:fldCharType="separate"/>
            </w:r>
            <w:r w:rsidR="00721FFF">
              <w:rPr>
                <w:noProof/>
                <w:webHidden/>
              </w:rPr>
              <w:t>26</w:t>
            </w:r>
            <w:r w:rsidR="00721FFF">
              <w:rPr>
                <w:noProof/>
                <w:webHidden/>
              </w:rPr>
              <w:fldChar w:fldCharType="end"/>
            </w:r>
          </w:hyperlink>
        </w:p>
        <w:p w14:paraId="5A793052" w14:textId="77777777" w:rsidR="00721FFF" w:rsidRDefault="007710B3">
          <w:pPr>
            <w:pStyle w:val="TOC2"/>
            <w:tabs>
              <w:tab w:val="left" w:pos="880"/>
            </w:tabs>
            <w:rPr>
              <w:rFonts w:asciiTheme="minorHAnsi" w:eastAsiaTheme="minorEastAsia" w:hAnsiTheme="minorHAnsi" w:cstheme="minorBidi"/>
              <w:noProof/>
              <w:color w:val="auto"/>
            </w:rPr>
          </w:pPr>
          <w:hyperlink w:anchor="_Toc427672765" w:history="1">
            <w:r w:rsidR="00721FFF" w:rsidRPr="002B5FE5">
              <w:rPr>
                <w:rStyle w:val="Hyperlink"/>
                <w:noProof/>
              </w:rPr>
              <w:t xml:space="preserve">8.2 </w:t>
            </w:r>
            <w:r w:rsidR="00721FFF">
              <w:rPr>
                <w:rFonts w:asciiTheme="minorHAnsi" w:eastAsiaTheme="minorEastAsia" w:hAnsiTheme="minorHAnsi" w:cstheme="minorBidi"/>
                <w:noProof/>
                <w:color w:val="auto"/>
              </w:rPr>
              <w:tab/>
            </w:r>
            <w:r w:rsidR="00721FFF" w:rsidRPr="002B5FE5">
              <w:rPr>
                <w:rStyle w:val="Hyperlink"/>
                <w:noProof/>
              </w:rPr>
              <w:t>Economic impact on domestic Trade</w:t>
            </w:r>
            <w:r w:rsidR="00721FFF">
              <w:rPr>
                <w:noProof/>
                <w:webHidden/>
              </w:rPr>
              <w:tab/>
            </w:r>
            <w:r w:rsidR="00721FFF">
              <w:rPr>
                <w:noProof/>
                <w:webHidden/>
              </w:rPr>
              <w:fldChar w:fldCharType="begin"/>
            </w:r>
            <w:r w:rsidR="00721FFF">
              <w:rPr>
                <w:noProof/>
                <w:webHidden/>
              </w:rPr>
              <w:instrText xml:space="preserve"> PAGEREF _Toc427672765 \h </w:instrText>
            </w:r>
            <w:r w:rsidR="00721FFF">
              <w:rPr>
                <w:noProof/>
                <w:webHidden/>
              </w:rPr>
            </w:r>
            <w:r w:rsidR="00721FFF">
              <w:rPr>
                <w:noProof/>
                <w:webHidden/>
              </w:rPr>
              <w:fldChar w:fldCharType="separate"/>
            </w:r>
            <w:r w:rsidR="00721FFF">
              <w:rPr>
                <w:noProof/>
                <w:webHidden/>
              </w:rPr>
              <w:t>28</w:t>
            </w:r>
            <w:r w:rsidR="00721FFF">
              <w:rPr>
                <w:noProof/>
                <w:webHidden/>
              </w:rPr>
              <w:fldChar w:fldCharType="end"/>
            </w:r>
          </w:hyperlink>
        </w:p>
        <w:p w14:paraId="763F9187" w14:textId="77777777" w:rsidR="00721FFF" w:rsidRDefault="007710B3">
          <w:pPr>
            <w:pStyle w:val="TOC2"/>
            <w:rPr>
              <w:rFonts w:asciiTheme="minorHAnsi" w:eastAsiaTheme="minorEastAsia" w:hAnsiTheme="minorHAnsi" w:cstheme="minorBidi"/>
              <w:noProof/>
              <w:color w:val="auto"/>
            </w:rPr>
          </w:pPr>
          <w:hyperlink w:anchor="_Toc427672766" w:history="1">
            <w:r w:rsidR="00721FFF" w:rsidRPr="002B5FE5">
              <w:rPr>
                <w:rStyle w:val="Hyperlink"/>
                <w:noProof/>
              </w:rPr>
              <w:t>8.3 Economic impact on international Trade</w:t>
            </w:r>
            <w:r w:rsidR="00721FFF">
              <w:rPr>
                <w:noProof/>
                <w:webHidden/>
              </w:rPr>
              <w:tab/>
            </w:r>
            <w:r w:rsidR="00721FFF">
              <w:rPr>
                <w:noProof/>
                <w:webHidden/>
              </w:rPr>
              <w:fldChar w:fldCharType="begin"/>
            </w:r>
            <w:r w:rsidR="00721FFF">
              <w:rPr>
                <w:noProof/>
                <w:webHidden/>
              </w:rPr>
              <w:instrText xml:space="preserve"> PAGEREF _Toc427672766 \h </w:instrText>
            </w:r>
            <w:r w:rsidR="00721FFF">
              <w:rPr>
                <w:noProof/>
                <w:webHidden/>
              </w:rPr>
            </w:r>
            <w:r w:rsidR="00721FFF">
              <w:rPr>
                <w:noProof/>
                <w:webHidden/>
              </w:rPr>
              <w:fldChar w:fldCharType="separate"/>
            </w:r>
            <w:r w:rsidR="00721FFF">
              <w:rPr>
                <w:noProof/>
                <w:webHidden/>
              </w:rPr>
              <w:t>29</w:t>
            </w:r>
            <w:r w:rsidR="00721FFF">
              <w:rPr>
                <w:noProof/>
                <w:webHidden/>
              </w:rPr>
              <w:fldChar w:fldCharType="end"/>
            </w:r>
          </w:hyperlink>
        </w:p>
        <w:p w14:paraId="7FBEDCC7" w14:textId="77777777" w:rsidR="00721FFF" w:rsidRDefault="007710B3">
          <w:pPr>
            <w:pStyle w:val="TOC3"/>
            <w:rPr>
              <w:rFonts w:asciiTheme="minorHAnsi" w:eastAsiaTheme="minorEastAsia" w:hAnsiTheme="minorHAnsi" w:cstheme="minorBidi"/>
              <w:noProof/>
              <w:color w:val="auto"/>
            </w:rPr>
          </w:pPr>
          <w:hyperlink w:anchor="_Toc427672767" w:history="1">
            <w:r w:rsidR="00721FFF" w:rsidRPr="002B5FE5">
              <w:rPr>
                <w:rStyle w:val="Hyperlink"/>
                <w:noProof/>
              </w:rPr>
              <w:t>8.3.1 Price Losses</w:t>
            </w:r>
            <w:r w:rsidR="00721FFF">
              <w:rPr>
                <w:noProof/>
                <w:webHidden/>
              </w:rPr>
              <w:tab/>
            </w:r>
            <w:r w:rsidR="00721FFF">
              <w:rPr>
                <w:noProof/>
                <w:webHidden/>
              </w:rPr>
              <w:fldChar w:fldCharType="begin"/>
            </w:r>
            <w:r w:rsidR="00721FFF">
              <w:rPr>
                <w:noProof/>
                <w:webHidden/>
              </w:rPr>
              <w:instrText xml:space="preserve"> PAGEREF _Toc427672767 \h </w:instrText>
            </w:r>
            <w:r w:rsidR="00721FFF">
              <w:rPr>
                <w:noProof/>
                <w:webHidden/>
              </w:rPr>
            </w:r>
            <w:r w:rsidR="00721FFF">
              <w:rPr>
                <w:noProof/>
                <w:webHidden/>
              </w:rPr>
              <w:fldChar w:fldCharType="separate"/>
            </w:r>
            <w:r w:rsidR="00721FFF">
              <w:rPr>
                <w:noProof/>
                <w:webHidden/>
              </w:rPr>
              <w:t>30</w:t>
            </w:r>
            <w:r w:rsidR="00721FFF">
              <w:rPr>
                <w:noProof/>
                <w:webHidden/>
              </w:rPr>
              <w:fldChar w:fldCharType="end"/>
            </w:r>
          </w:hyperlink>
        </w:p>
        <w:p w14:paraId="5828BE7E" w14:textId="77777777" w:rsidR="00721FFF" w:rsidRDefault="007710B3">
          <w:pPr>
            <w:pStyle w:val="TOC3"/>
            <w:rPr>
              <w:rFonts w:asciiTheme="minorHAnsi" w:eastAsiaTheme="minorEastAsia" w:hAnsiTheme="minorHAnsi" w:cstheme="minorBidi"/>
              <w:noProof/>
              <w:color w:val="auto"/>
            </w:rPr>
          </w:pPr>
          <w:hyperlink w:anchor="_Toc427672768" w:history="1">
            <w:r w:rsidR="00721FFF" w:rsidRPr="002B5FE5">
              <w:rPr>
                <w:rStyle w:val="Hyperlink"/>
                <w:noProof/>
              </w:rPr>
              <w:t>8.3.2 Losses resulting from rejected exports</w:t>
            </w:r>
            <w:r w:rsidR="00721FFF">
              <w:rPr>
                <w:noProof/>
                <w:webHidden/>
              </w:rPr>
              <w:tab/>
            </w:r>
            <w:r w:rsidR="00721FFF">
              <w:rPr>
                <w:noProof/>
                <w:webHidden/>
              </w:rPr>
              <w:fldChar w:fldCharType="begin"/>
            </w:r>
            <w:r w:rsidR="00721FFF">
              <w:rPr>
                <w:noProof/>
                <w:webHidden/>
              </w:rPr>
              <w:instrText xml:space="preserve"> PAGEREF _Toc427672768 \h </w:instrText>
            </w:r>
            <w:r w:rsidR="00721FFF">
              <w:rPr>
                <w:noProof/>
                <w:webHidden/>
              </w:rPr>
            </w:r>
            <w:r w:rsidR="00721FFF">
              <w:rPr>
                <w:noProof/>
                <w:webHidden/>
              </w:rPr>
              <w:fldChar w:fldCharType="separate"/>
            </w:r>
            <w:r w:rsidR="00721FFF">
              <w:rPr>
                <w:noProof/>
                <w:webHidden/>
              </w:rPr>
              <w:t>32</w:t>
            </w:r>
            <w:r w:rsidR="00721FFF">
              <w:rPr>
                <w:noProof/>
                <w:webHidden/>
              </w:rPr>
              <w:fldChar w:fldCharType="end"/>
            </w:r>
          </w:hyperlink>
        </w:p>
        <w:p w14:paraId="2E20DFE3" w14:textId="77777777" w:rsidR="00721FFF" w:rsidRDefault="007710B3">
          <w:pPr>
            <w:pStyle w:val="TOC2"/>
            <w:rPr>
              <w:rFonts w:asciiTheme="minorHAnsi" w:eastAsiaTheme="minorEastAsia" w:hAnsiTheme="minorHAnsi" w:cstheme="minorBidi"/>
              <w:noProof/>
              <w:color w:val="auto"/>
            </w:rPr>
          </w:pPr>
          <w:hyperlink w:anchor="_Toc427672769" w:history="1">
            <w:r w:rsidR="00721FFF" w:rsidRPr="002B5FE5">
              <w:rPr>
                <w:rStyle w:val="Hyperlink"/>
                <w:noProof/>
              </w:rPr>
              <w:t>8.4 Economic impact on health</w:t>
            </w:r>
            <w:r w:rsidR="00721FFF">
              <w:rPr>
                <w:noProof/>
                <w:webHidden/>
              </w:rPr>
              <w:tab/>
            </w:r>
            <w:r w:rsidR="00721FFF">
              <w:rPr>
                <w:noProof/>
                <w:webHidden/>
              </w:rPr>
              <w:fldChar w:fldCharType="begin"/>
            </w:r>
            <w:r w:rsidR="00721FFF">
              <w:rPr>
                <w:noProof/>
                <w:webHidden/>
              </w:rPr>
              <w:instrText xml:space="preserve"> PAGEREF _Toc427672769 \h </w:instrText>
            </w:r>
            <w:r w:rsidR="00721FFF">
              <w:rPr>
                <w:noProof/>
                <w:webHidden/>
              </w:rPr>
            </w:r>
            <w:r w:rsidR="00721FFF">
              <w:rPr>
                <w:noProof/>
                <w:webHidden/>
              </w:rPr>
              <w:fldChar w:fldCharType="separate"/>
            </w:r>
            <w:r w:rsidR="00721FFF">
              <w:rPr>
                <w:noProof/>
                <w:webHidden/>
              </w:rPr>
              <w:t>32</w:t>
            </w:r>
            <w:r w:rsidR="00721FFF">
              <w:rPr>
                <w:noProof/>
                <w:webHidden/>
              </w:rPr>
              <w:fldChar w:fldCharType="end"/>
            </w:r>
          </w:hyperlink>
        </w:p>
        <w:p w14:paraId="3E39C176" w14:textId="77777777" w:rsidR="00721FFF" w:rsidRDefault="007710B3">
          <w:pPr>
            <w:pStyle w:val="TOC3"/>
            <w:rPr>
              <w:rFonts w:asciiTheme="minorHAnsi" w:eastAsiaTheme="minorEastAsia" w:hAnsiTheme="minorHAnsi" w:cstheme="minorBidi"/>
              <w:noProof/>
              <w:color w:val="auto"/>
            </w:rPr>
          </w:pPr>
          <w:hyperlink w:anchor="_Toc427672770" w:history="1">
            <w:r w:rsidR="00721FFF" w:rsidRPr="002B5FE5">
              <w:rPr>
                <w:rStyle w:val="Hyperlink"/>
                <w:noProof/>
              </w:rPr>
              <w:t>8.4.1 Estimation of aflatoxin exposure using bio-marker based exposure data</w:t>
            </w:r>
            <w:r w:rsidR="00721FFF">
              <w:rPr>
                <w:noProof/>
                <w:webHidden/>
              </w:rPr>
              <w:tab/>
            </w:r>
            <w:r w:rsidR="00721FFF">
              <w:rPr>
                <w:noProof/>
                <w:webHidden/>
              </w:rPr>
              <w:fldChar w:fldCharType="begin"/>
            </w:r>
            <w:r w:rsidR="00721FFF">
              <w:rPr>
                <w:noProof/>
                <w:webHidden/>
              </w:rPr>
              <w:instrText xml:space="preserve"> PAGEREF _Toc427672770 \h </w:instrText>
            </w:r>
            <w:r w:rsidR="00721FFF">
              <w:rPr>
                <w:noProof/>
                <w:webHidden/>
              </w:rPr>
            </w:r>
            <w:r w:rsidR="00721FFF">
              <w:rPr>
                <w:noProof/>
                <w:webHidden/>
              </w:rPr>
              <w:fldChar w:fldCharType="separate"/>
            </w:r>
            <w:r w:rsidR="00721FFF">
              <w:rPr>
                <w:noProof/>
                <w:webHidden/>
              </w:rPr>
              <w:t>32</w:t>
            </w:r>
            <w:r w:rsidR="00721FFF">
              <w:rPr>
                <w:noProof/>
                <w:webHidden/>
              </w:rPr>
              <w:fldChar w:fldCharType="end"/>
            </w:r>
          </w:hyperlink>
        </w:p>
        <w:p w14:paraId="48BF95F9" w14:textId="77777777" w:rsidR="00721FFF" w:rsidRDefault="007710B3">
          <w:pPr>
            <w:pStyle w:val="TOC3"/>
            <w:rPr>
              <w:rFonts w:asciiTheme="minorHAnsi" w:eastAsiaTheme="minorEastAsia" w:hAnsiTheme="minorHAnsi" w:cstheme="minorBidi"/>
              <w:noProof/>
              <w:color w:val="auto"/>
            </w:rPr>
          </w:pPr>
          <w:hyperlink w:anchor="_Toc427672771" w:history="1">
            <w:r w:rsidR="00721FFF" w:rsidRPr="002B5FE5">
              <w:rPr>
                <w:rStyle w:val="Hyperlink"/>
                <w:noProof/>
              </w:rPr>
              <w:t>8.4.3 Estimation of medical and non-medical costs for new HCC cases</w:t>
            </w:r>
            <w:r w:rsidR="00721FFF">
              <w:rPr>
                <w:noProof/>
                <w:webHidden/>
              </w:rPr>
              <w:tab/>
            </w:r>
            <w:r w:rsidR="00721FFF">
              <w:rPr>
                <w:noProof/>
                <w:webHidden/>
              </w:rPr>
              <w:fldChar w:fldCharType="begin"/>
            </w:r>
            <w:r w:rsidR="00721FFF">
              <w:rPr>
                <w:noProof/>
                <w:webHidden/>
              </w:rPr>
              <w:instrText xml:space="preserve"> PAGEREF _Toc427672771 \h </w:instrText>
            </w:r>
            <w:r w:rsidR="00721FFF">
              <w:rPr>
                <w:noProof/>
                <w:webHidden/>
              </w:rPr>
            </w:r>
            <w:r w:rsidR="00721FFF">
              <w:rPr>
                <w:noProof/>
                <w:webHidden/>
              </w:rPr>
              <w:fldChar w:fldCharType="separate"/>
            </w:r>
            <w:r w:rsidR="00721FFF">
              <w:rPr>
                <w:noProof/>
                <w:webHidden/>
              </w:rPr>
              <w:t>35</w:t>
            </w:r>
            <w:r w:rsidR="00721FFF">
              <w:rPr>
                <w:noProof/>
                <w:webHidden/>
              </w:rPr>
              <w:fldChar w:fldCharType="end"/>
            </w:r>
          </w:hyperlink>
        </w:p>
        <w:p w14:paraId="78E93D95" w14:textId="77777777" w:rsidR="00721FFF" w:rsidRDefault="007710B3">
          <w:pPr>
            <w:pStyle w:val="TOC3"/>
            <w:rPr>
              <w:rFonts w:asciiTheme="minorHAnsi" w:eastAsiaTheme="minorEastAsia" w:hAnsiTheme="minorHAnsi" w:cstheme="minorBidi"/>
              <w:noProof/>
              <w:color w:val="auto"/>
            </w:rPr>
          </w:pPr>
          <w:hyperlink w:anchor="_Toc427672772" w:history="1">
            <w:r w:rsidR="00721FFF" w:rsidRPr="002B5FE5">
              <w:rPr>
                <w:rStyle w:val="Hyperlink"/>
                <w:noProof/>
              </w:rPr>
              <w:t>8.4.4 Gender specific economic impact</w:t>
            </w:r>
            <w:r w:rsidR="00721FFF">
              <w:rPr>
                <w:noProof/>
                <w:webHidden/>
              </w:rPr>
              <w:tab/>
            </w:r>
            <w:r w:rsidR="00721FFF">
              <w:rPr>
                <w:noProof/>
                <w:webHidden/>
              </w:rPr>
              <w:fldChar w:fldCharType="begin"/>
            </w:r>
            <w:r w:rsidR="00721FFF">
              <w:rPr>
                <w:noProof/>
                <w:webHidden/>
              </w:rPr>
              <w:instrText xml:space="preserve"> PAGEREF _Toc427672772 \h </w:instrText>
            </w:r>
            <w:r w:rsidR="00721FFF">
              <w:rPr>
                <w:noProof/>
                <w:webHidden/>
              </w:rPr>
            </w:r>
            <w:r w:rsidR="00721FFF">
              <w:rPr>
                <w:noProof/>
                <w:webHidden/>
              </w:rPr>
              <w:fldChar w:fldCharType="separate"/>
            </w:r>
            <w:r w:rsidR="00721FFF">
              <w:rPr>
                <w:noProof/>
                <w:webHidden/>
              </w:rPr>
              <w:t>35</w:t>
            </w:r>
            <w:r w:rsidR="00721FFF">
              <w:rPr>
                <w:noProof/>
                <w:webHidden/>
              </w:rPr>
              <w:fldChar w:fldCharType="end"/>
            </w:r>
          </w:hyperlink>
        </w:p>
        <w:p w14:paraId="26EC6BF3" w14:textId="77777777" w:rsidR="00721FFF" w:rsidRDefault="007710B3">
          <w:pPr>
            <w:pStyle w:val="TOC3"/>
            <w:rPr>
              <w:rFonts w:asciiTheme="minorHAnsi" w:eastAsiaTheme="minorEastAsia" w:hAnsiTheme="minorHAnsi" w:cstheme="minorBidi"/>
              <w:noProof/>
              <w:color w:val="auto"/>
            </w:rPr>
          </w:pPr>
          <w:hyperlink w:anchor="_Toc427672773" w:history="1">
            <w:r w:rsidR="00721FFF" w:rsidRPr="002B5FE5">
              <w:rPr>
                <w:rStyle w:val="Hyperlink"/>
                <w:noProof/>
              </w:rPr>
              <w:t>8.4.5 Children specific economic impact</w:t>
            </w:r>
            <w:r w:rsidR="00721FFF">
              <w:rPr>
                <w:noProof/>
                <w:webHidden/>
              </w:rPr>
              <w:tab/>
            </w:r>
            <w:r w:rsidR="00721FFF">
              <w:rPr>
                <w:noProof/>
                <w:webHidden/>
              </w:rPr>
              <w:fldChar w:fldCharType="begin"/>
            </w:r>
            <w:r w:rsidR="00721FFF">
              <w:rPr>
                <w:noProof/>
                <w:webHidden/>
              </w:rPr>
              <w:instrText xml:space="preserve"> PAGEREF _Toc427672773 \h </w:instrText>
            </w:r>
            <w:r w:rsidR="00721FFF">
              <w:rPr>
                <w:noProof/>
                <w:webHidden/>
              </w:rPr>
            </w:r>
            <w:r w:rsidR="00721FFF">
              <w:rPr>
                <w:noProof/>
                <w:webHidden/>
              </w:rPr>
              <w:fldChar w:fldCharType="separate"/>
            </w:r>
            <w:r w:rsidR="00721FFF">
              <w:rPr>
                <w:noProof/>
                <w:webHidden/>
              </w:rPr>
              <w:t>38</w:t>
            </w:r>
            <w:r w:rsidR="00721FFF">
              <w:rPr>
                <w:noProof/>
                <w:webHidden/>
              </w:rPr>
              <w:fldChar w:fldCharType="end"/>
            </w:r>
          </w:hyperlink>
        </w:p>
        <w:p w14:paraId="56F615A1" w14:textId="77777777" w:rsidR="00721FFF" w:rsidRDefault="007710B3">
          <w:pPr>
            <w:pStyle w:val="TOC3"/>
            <w:rPr>
              <w:rFonts w:asciiTheme="minorHAnsi" w:eastAsiaTheme="minorEastAsia" w:hAnsiTheme="minorHAnsi" w:cstheme="minorBidi"/>
              <w:noProof/>
              <w:color w:val="auto"/>
            </w:rPr>
          </w:pPr>
          <w:hyperlink w:anchor="_Toc427672774" w:history="1">
            <w:r w:rsidR="00721FFF" w:rsidRPr="002B5FE5">
              <w:rPr>
                <w:rStyle w:val="Hyperlink"/>
                <w:noProof/>
              </w:rPr>
              <w:t>8.4.6 Total Economic loss (males and females)</w:t>
            </w:r>
            <w:r w:rsidR="00721FFF">
              <w:rPr>
                <w:noProof/>
                <w:webHidden/>
              </w:rPr>
              <w:tab/>
            </w:r>
            <w:r w:rsidR="00721FFF">
              <w:rPr>
                <w:noProof/>
                <w:webHidden/>
              </w:rPr>
              <w:fldChar w:fldCharType="begin"/>
            </w:r>
            <w:r w:rsidR="00721FFF">
              <w:rPr>
                <w:noProof/>
                <w:webHidden/>
              </w:rPr>
              <w:instrText xml:space="preserve"> PAGEREF _Toc427672774 \h </w:instrText>
            </w:r>
            <w:r w:rsidR="00721FFF">
              <w:rPr>
                <w:noProof/>
                <w:webHidden/>
              </w:rPr>
            </w:r>
            <w:r w:rsidR="00721FFF">
              <w:rPr>
                <w:noProof/>
                <w:webHidden/>
              </w:rPr>
              <w:fldChar w:fldCharType="separate"/>
            </w:r>
            <w:r w:rsidR="00721FFF">
              <w:rPr>
                <w:noProof/>
                <w:webHidden/>
              </w:rPr>
              <w:t>40</w:t>
            </w:r>
            <w:r w:rsidR="00721FFF">
              <w:rPr>
                <w:noProof/>
                <w:webHidden/>
              </w:rPr>
              <w:fldChar w:fldCharType="end"/>
            </w:r>
          </w:hyperlink>
        </w:p>
        <w:p w14:paraId="39A89EDA" w14:textId="77777777" w:rsidR="00721FFF" w:rsidRDefault="007710B3">
          <w:pPr>
            <w:pStyle w:val="TOC3"/>
            <w:rPr>
              <w:rFonts w:asciiTheme="minorHAnsi" w:eastAsiaTheme="minorEastAsia" w:hAnsiTheme="minorHAnsi" w:cstheme="minorBidi"/>
              <w:noProof/>
              <w:color w:val="auto"/>
            </w:rPr>
          </w:pPr>
          <w:hyperlink w:anchor="_Toc427672775" w:history="1">
            <w:r w:rsidR="00721FFF" w:rsidRPr="002B5FE5">
              <w:rPr>
                <w:rStyle w:val="Hyperlink"/>
                <w:noProof/>
              </w:rPr>
              <w:t>8.4.7 Case fatality ratio</w:t>
            </w:r>
            <w:r w:rsidR="00721FFF">
              <w:rPr>
                <w:noProof/>
                <w:webHidden/>
              </w:rPr>
              <w:tab/>
            </w:r>
            <w:r w:rsidR="00721FFF">
              <w:rPr>
                <w:noProof/>
                <w:webHidden/>
              </w:rPr>
              <w:fldChar w:fldCharType="begin"/>
            </w:r>
            <w:r w:rsidR="00721FFF">
              <w:rPr>
                <w:noProof/>
                <w:webHidden/>
              </w:rPr>
              <w:instrText xml:space="preserve"> PAGEREF _Toc427672775 \h </w:instrText>
            </w:r>
            <w:r w:rsidR="00721FFF">
              <w:rPr>
                <w:noProof/>
                <w:webHidden/>
              </w:rPr>
            </w:r>
            <w:r w:rsidR="00721FFF">
              <w:rPr>
                <w:noProof/>
                <w:webHidden/>
              </w:rPr>
              <w:fldChar w:fldCharType="separate"/>
            </w:r>
            <w:r w:rsidR="00721FFF">
              <w:rPr>
                <w:noProof/>
                <w:webHidden/>
              </w:rPr>
              <w:t>41</w:t>
            </w:r>
            <w:r w:rsidR="00721FFF">
              <w:rPr>
                <w:noProof/>
                <w:webHidden/>
              </w:rPr>
              <w:fldChar w:fldCharType="end"/>
            </w:r>
          </w:hyperlink>
        </w:p>
        <w:p w14:paraId="14E2D11D" w14:textId="77777777" w:rsidR="00721FFF" w:rsidRDefault="007710B3">
          <w:pPr>
            <w:pStyle w:val="TOC3"/>
            <w:rPr>
              <w:rFonts w:asciiTheme="minorHAnsi" w:eastAsiaTheme="minorEastAsia" w:hAnsiTheme="minorHAnsi" w:cstheme="minorBidi"/>
              <w:noProof/>
              <w:color w:val="auto"/>
            </w:rPr>
          </w:pPr>
          <w:hyperlink w:anchor="_Toc427672776" w:history="1">
            <w:r w:rsidR="00721FFF" w:rsidRPr="002B5FE5">
              <w:rPr>
                <w:rStyle w:val="Hyperlink"/>
                <w:noProof/>
              </w:rPr>
              <w:t>8.4.6 Overall impact of aflatoxins on agriculture and food security, trade and health</w:t>
            </w:r>
            <w:r w:rsidR="00721FFF">
              <w:rPr>
                <w:noProof/>
                <w:webHidden/>
              </w:rPr>
              <w:tab/>
            </w:r>
            <w:r w:rsidR="00721FFF">
              <w:rPr>
                <w:noProof/>
                <w:webHidden/>
              </w:rPr>
              <w:fldChar w:fldCharType="begin"/>
            </w:r>
            <w:r w:rsidR="00721FFF">
              <w:rPr>
                <w:noProof/>
                <w:webHidden/>
              </w:rPr>
              <w:instrText xml:space="preserve"> PAGEREF _Toc427672776 \h </w:instrText>
            </w:r>
            <w:r w:rsidR="00721FFF">
              <w:rPr>
                <w:noProof/>
                <w:webHidden/>
              </w:rPr>
            </w:r>
            <w:r w:rsidR="00721FFF">
              <w:rPr>
                <w:noProof/>
                <w:webHidden/>
              </w:rPr>
              <w:fldChar w:fldCharType="separate"/>
            </w:r>
            <w:r w:rsidR="00721FFF">
              <w:rPr>
                <w:noProof/>
                <w:webHidden/>
              </w:rPr>
              <w:t>42</w:t>
            </w:r>
            <w:r w:rsidR="00721FFF">
              <w:rPr>
                <w:noProof/>
                <w:webHidden/>
              </w:rPr>
              <w:fldChar w:fldCharType="end"/>
            </w:r>
          </w:hyperlink>
        </w:p>
        <w:p w14:paraId="5C7CF6B0"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77" w:history="1">
            <w:r w:rsidR="00721FFF" w:rsidRPr="002B5FE5">
              <w:rPr>
                <w:rStyle w:val="Hyperlink"/>
                <w:noProof/>
              </w:rPr>
              <w:t>9.0 Identification of gaps and intervention options for the mitigation of aflatoxin contamination along the groundnut, maize and rice value chains</w:t>
            </w:r>
            <w:r w:rsidR="00721FFF">
              <w:rPr>
                <w:noProof/>
                <w:webHidden/>
              </w:rPr>
              <w:tab/>
            </w:r>
            <w:r w:rsidR="00721FFF">
              <w:rPr>
                <w:noProof/>
                <w:webHidden/>
              </w:rPr>
              <w:fldChar w:fldCharType="begin"/>
            </w:r>
            <w:r w:rsidR="00721FFF">
              <w:rPr>
                <w:noProof/>
                <w:webHidden/>
              </w:rPr>
              <w:instrText xml:space="preserve"> PAGEREF _Toc427672777 \h </w:instrText>
            </w:r>
            <w:r w:rsidR="00721FFF">
              <w:rPr>
                <w:noProof/>
                <w:webHidden/>
              </w:rPr>
            </w:r>
            <w:r w:rsidR="00721FFF">
              <w:rPr>
                <w:noProof/>
                <w:webHidden/>
              </w:rPr>
              <w:fldChar w:fldCharType="separate"/>
            </w:r>
            <w:r w:rsidR="00721FFF">
              <w:rPr>
                <w:noProof/>
                <w:webHidden/>
              </w:rPr>
              <w:t>42</w:t>
            </w:r>
            <w:r w:rsidR="00721FFF">
              <w:rPr>
                <w:noProof/>
                <w:webHidden/>
              </w:rPr>
              <w:fldChar w:fldCharType="end"/>
            </w:r>
          </w:hyperlink>
        </w:p>
        <w:p w14:paraId="41109DC5" w14:textId="77777777" w:rsidR="00721FFF" w:rsidRDefault="007710B3">
          <w:pPr>
            <w:pStyle w:val="TOC2"/>
            <w:rPr>
              <w:rFonts w:asciiTheme="minorHAnsi" w:eastAsiaTheme="minorEastAsia" w:hAnsiTheme="minorHAnsi" w:cstheme="minorBidi"/>
              <w:noProof/>
              <w:color w:val="auto"/>
            </w:rPr>
          </w:pPr>
          <w:hyperlink w:anchor="_Toc427672778" w:history="1">
            <w:r w:rsidR="00721FFF" w:rsidRPr="002B5FE5">
              <w:rPr>
                <w:rStyle w:val="Hyperlink"/>
                <w:noProof/>
              </w:rPr>
              <w:t>9.1 Identifications of gaps along the value chains</w:t>
            </w:r>
            <w:r w:rsidR="00721FFF">
              <w:rPr>
                <w:noProof/>
                <w:webHidden/>
              </w:rPr>
              <w:tab/>
            </w:r>
            <w:r w:rsidR="00721FFF">
              <w:rPr>
                <w:noProof/>
                <w:webHidden/>
              </w:rPr>
              <w:fldChar w:fldCharType="begin"/>
            </w:r>
            <w:r w:rsidR="00721FFF">
              <w:rPr>
                <w:noProof/>
                <w:webHidden/>
              </w:rPr>
              <w:instrText xml:space="preserve"> PAGEREF _Toc427672778 \h </w:instrText>
            </w:r>
            <w:r w:rsidR="00721FFF">
              <w:rPr>
                <w:noProof/>
                <w:webHidden/>
              </w:rPr>
            </w:r>
            <w:r w:rsidR="00721FFF">
              <w:rPr>
                <w:noProof/>
                <w:webHidden/>
              </w:rPr>
              <w:fldChar w:fldCharType="separate"/>
            </w:r>
            <w:r w:rsidR="00721FFF">
              <w:rPr>
                <w:noProof/>
                <w:webHidden/>
              </w:rPr>
              <w:t>43</w:t>
            </w:r>
            <w:r w:rsidR="00721FFF">
              <w:rPr>
                <w:noProof/>
                <w:webHidden/>
              </w:rPr>
              <w:fldChar w:fldCharType="end"/>
            </w:r>
          </w:hyperlink>
        </w:p>
        <w:p w14:paraId="3581749F"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79" w:history="1">
            <w:r w:rsidR="00721FFF" w:rsidRPr="002B5FE5">
              <w:rPr>
                <w:rStyle w:val="Hyperlink"/>
                <w:noProof/>
              </w:rPr>
              <w:t>10.0 Policy, legal and institutional environment as it pertains to aflatoxins</w:t>
            </w:r>
            <w:r w:rsidR="00721FFF">
              <w:rPr>
                <w:noProof/>
                <w:webHidden/>
              </w:rPr>
              <w:tab/>
            </w:r>
            <w:r w:rsidR="00721FFF">
              <w:rPr>
                <w:noProof/>
                <w:webHidden/>
              </w:rPr>
              <w:fldChar w:fldCharType="begin"/>
            </w:r>
            <w:r w:rsidR="00721FFF">
              <w:rPr>
                <w:noProof/>
                <w:webHidden/>
              </w:rPr>
              <w:instrText xml:space="preserve"> PAGEREF _Toc427672779 \h </w:instrText>
            </w:r>
            <w:r w:rsidR="00721FFF">
              <w:rPr>
                <w:noProof/>
                <w:webHidden/>
              </w:rPr>
            </w:r>
            <w:r w:rsidR="00721FFF">
              <w:rPr>
                <w:noProof/>
                <w:webHidden/>
              </w:rPr>
              <w:fldChar w:fldCharType="separate"/>
            </w:r>
            <w:r w:rsidR="00721FFF">
              <w:rPr>
                <w:noProof/>
                <w:webHidden/>
              </w:rPr>
              <w:t>45</w:t>
            </w:r>
            <w:r w:rsidR="00721FFF">
              <w:rPr>
                <w:noProof/>
                <w:webHidden/>
              </w:rPr>
              <w:fldChar w:fldCharType="end"/>
            </w:r>
          </w:hyperlink>
        </w:p>
        <w:p w14:paraId="4263BA60" w14:textId="77777777" w:rsidR="00721FFF" w:rsidRDefault="007710B3">
          <w:pPr>
            <w:pStyle w:val="TOC2"/>
            <w:rPr>
              <w:rFonts w:asciiTheme="minorHAnsi" w:eastAsiaTheme="minorEastAsia" w:hAnsiTheme="minorHAnsi" w:cstheme="minorBidi"/>
              <w:noProof/>
              <w:color w:val="auto"/>
            </w:rPr>
          </w:pPr>
          <w:hyperlink w:anchor="_Toc427672780" w:history="1">
            <w:r w:rsidR="00721FFF" w:rsidRPr="002B5FE5">
              <w:rPr>
                <w:rStyle w:val="Hyperlink"/>
                <w:noProof/>
              </w:rPr>
              <w:t>10.1 Agriculture and Natural Resources Policy – ANR (2009-2015)</w:t>
            </w:r>
            <w:r w:rsidR="00721FFF">
              <w:rPr>
                <w:noProof/>
                <w:webHidden/>
              </w:rPr>
              <w:tab/>
            </w:r>
            <w:r w:rsidR="00721FFF">
              <w:rPr>
                <w:noProof/>
                <w:webHidden/>
              </w:rPr>
              <w:fldChar w:fldCharType="begin"/>
            </w:r>
            <w:r w:rsidR="00721FFF">
              <w:rPr>
                <w:noProof/>
                <w:webHidden/>
              </w:rPr>
              <w:instrText xml:space="preserve"> PAGEREF _Toc427672780 \h </w:instrText>
            </w:r>
            <w:r w:rsidR="00721FFF">
              <w:rPr>
                <w:noProof/>
                <w:webHidden/>
              </w:rPr>
            </w:r>
            <w:r w:rsidR="00721FFF">
              <w:rPr>
                <w:noProof/>
                <w:webHidden/>
              </w:rPr>
              <w:fldChar w:fldCharType="separate"/>
            </w:r>
            <w:r w:rsidR="00721FFF">
              <w:rPr>
                <w:noProof/>
                <w:webHidden/>
              </w:rPr>
              <w:t>45</w:t>
            </w:r>
            <w:r w:rsidR="00721FFF">
              <w:rPr>
                <w:noProof/>
                <w:webHidden/>
              </w:rPr>
              <w:fldChar w:fldCharType="end"/>
            </w:r>
          </w:hyperlink>
        </w:p>
        <w:p w14:paraId="029496B0" w14:textId="77777777" w:rsidR="00721FFF" w:rsidRDefault="007710B3">
          <w:pPr>
            <w:pStyle w:val="TOC2"/>
            <w:rPr>
              <w:rFonts w:asciiTheme="minorHAnsi" w:eastAsiaTheme="minorEastAsia" w:hAnsiTheme="minorHAnsi" w:cstheme="minorBidi"/>
              <w:noProof/>
              <w:color w:val="auto"/>
            </w:rPr>
          </w:pPr>
          <w:hyperlink w:anchor="_Toc427672782" w:history="1">
            <w:r w:rsidR="00721FFF" w:rsidRPr="002B5FE5">
              <w:rPr>
                <w:rStyle w:val="Hyperlink"/>
                <w:noProof/>
              </w:rPr>
              <w:t>10.2 National Health Policy (2012-2020)</w:t>
            </w:r>
            <w:r w:rsidR="00721FFF">
              <w:rPr>
                <w:noProof/>
                <w:webHidden/>
              </w:rPr>
              <w:tab/>
            </w:r>
            <w:r w:rsidR="00721FFF">
              <w:rPr>
                <w:noProof/>
                <w:webHidden/>
              </w:rPr>
              <w:fldChar w:fldCharType="begin"/>
            </w:r>
            <w:r w:rsidR="00721FFF">
              <w:rPr>
                <w:noProof/>
                <w:webHidden/>
              </w:rPr>
              <w:instrText xml:space="preserve"> PAGEREF _Toc427672782 \h </w:instrText>
            </w:r>
            <w:r w:rsidR="00721FFF">
              <w:rPr>
                <w:noProof/>
                <w:webHidden/>
              </w:rPr>
            </w:r>
            <w:r w:rsidR="00721FFF">
              <w:rPr>
                <w:noProof/>
                <w:webHidden/>
              </w:rPr>
              <w:fldChar w:fldCharType="separate"/>
            </w:r>
            <w:r w:rsidR="00721FFF">
              <w:rPr>
                <w:noProof/>
                <w:webHidden/>
              </w:rPr>
              <w:t>46</w:t>
            </w:r>
            <w:r w:rsidR="00721FFF">
              <w:rPr>
                <w:noProof/>
                <w:webHidden/>
              </w:rPr>
              <w:fldChar w:fldCharType="end"/>
            </w:r>
          </w:hyperlink>
        </w:p>
        <w:p w14:paraId="196584C1" w14:textId="77777777" w:rsidR="00721FFF" w:rsidRDefault="007710B3">
          <w:pPr>
            <w:pStyle w:val="TOC2"/>
            <w:rPr>
              <w:rFonts w:asciiTheme="minorHAnsi" w:eastAsiaTheme="minorEastAsia" w:hAnsiTheme="minorHAnsi" w:cstheme="minorBidi"/>
              <w:noProof/>
              <w:color w:val="auto"/>
            </w:rPr>
          </w:pPr>
          <w:hyperlink w:anchor="_Toc427672783" w:history="1">
            <w:r w:rsidR="00721FFF" w:rsidRPr="002B5FE5">
              <w:rPr>
                <w:rStyle w:val="Hyperlink"/>
                <w:noProof/>
              </w:rPr>
              <w:t>10.3 The Gambia Trade Policy 2011</w:t>
            </w:r>
            <w:r w:rsidR="00721FFF">
              <w:rPr>
                <w:noProof/>
                <w:webHidden/>
              </w:rPr>
              <w:tab/>
            </w:r>
            <w:r w:rsidR="00721FFF">
              <w:rPr>
                <w:noProof/>
                <w:webHidden/>
              </w:rPr>
              <w:fldChar w:fldCharType="begin"/>
            </w:r>
            <w:r w:rsidR="00721FFF">
              <w:rPr>
                <w:noProof/>
                <w:webHidden/>
              </w:rPr>
              <w:instrText xml:space="preserve"> PAGEREF _Toc427672783 \h </w:instrText>
            </w:r>
            <w:r w:rsidR="00721FFF">
              <w:rPr>
                <w:noProof/>
                <w:webHidden/>
              </w:rPr>
            </w:r>
            <w:r w:rsidR="00721FFF">
              <w:rPr>
                <w:noProof/>
                <w:webHidden/>
              </w:rPr>
              <w:fldChar w:fldCharType="separate"/>
            </w:r>
            <w:r w:rsidR="00721FFF">
              <w:rPr>
                <w:noProof/>
                <w:webHidden/>
              </w:rPr>
              <w:t>46</w:t>
            </w:r>
            <w:r w:rsidR="00721FFF">
              <w:rPr>
                <w:noProof/>
                <w:webHidden/>
              </w:rPr>
              <w:fldChar w:fldCharType="end"/>
            </w:r>
          </w:hyperlink>
        </w:p>
        <w:p w14:paraId="66A29709" w14:textId="77777777" w:rsidR="00721FFF" w:rsidRDefault="007710B3">
          <w:pPr>
            <w:pStyle w:val="TOC2"/>
            <w:rPr>
              <w:rFonts w:asciiTheme="minorHAnsi" w:eastAsiaTheme="minorEastAsia" w:hAnsiTheme="minorHAnsi" w:cstheme="minorBidi"/>
              <w:noProof/>
              <w:color w:val="auto"/>
            </w:rPr>
          </w:pPr>
          <w:hyperlink w:anchor="_Toc427672784" w:history="1">
            <w:r w:rsidR="00721FFF" w:rsidRPr="002B5FE5">
              <w:rPr>
                <w:rStyle w:val="Hyperlink"/>
                <w:noProof/>
              </w:rPr>
              <w:t>10.4 Draft Food Safety Policy</w:t>
            </w:r>
            <w:r w:rsidR="00721FFF">
              <w:rPr>
                <w:noProof/>
                <w:webHidden/>
              </w:rPr>
              <w:tab/>
            </w:r>
            <w:r w:rsidR="00721FFF">
              <w:rPr>
                <w:noProof/>
                <w:webHidden/>
              </w:rPr>
              <w:fldChar w:fldCharType="begin"/>
            </w:r>
            <w:r w:rsidR="00721FFF">
              <w:rPr>
                <w:noProof/>
                <w:webHidden/>
              </w:rPr>
              <w:instrText xml:space="preserve"> PAGEREF _Toc427672784 \h </w:instrText>
            </w:r>
            <w:r w:rsidR="00721FFF">
              <w:rPr>
                <w:noProof/>
                <w:webHidden/>
              </w:rPr>
            </w:r>
            <w:r w:rsidR="00721FFF">
              <w:rPr>
                <w:noProof/>
                <w:webHidden/>
              </w:rPr>
              <w:fldChar w:fldCharType="separate"/>
            </w:r>
            <w:r w:rsidR="00721FFF">
              <w:rPr>
                <w:noProof/>
                <w:webHidden/>
              </w:rPr>
              <w:t>46</w:t>
            </w:r>
            <w:r w:rsidR="00721FFF">
              <w:rPr>
                <w:noProof/>
                <w:webHidden/>
              </w:rPr>
              <w:fldChar w:fldCharType="end"/>
            </w:r>
          </w:hyperlink>
        </w:p>
        <w:p w14:paraId="06892A96" w14:textId="77777777" w:rsidR="00721FFF" w:rsidRDefault="007710B3">
          <w:pPr>
            <w:pStyle w:val="TOC2"/>
            <w:rPr>
              <w:rFonts w:asciiTheme="minorHAnsi" w:eastAsiaTheme="minorEastAsia" w:hAnsiTheme="minorHAnsi" w:cstheme="minorBidi"/>
              <w:noProof/>
              <w:color w:val="auto"/>
            </w:rPr>
          </w:pPr>
          <w:hyperlink w:anchor="_Toc427672785" w:history="1">
            <w:r w:rsidR="00721FFF" w:rsidRPr="002B5FE5">
              <w:rPr>
                <w:rStyle w:val="Hyperlink"/>
                <w:noProof/>
              </w:rPr>
              <w:t>10.5 The Gambia National Agricultural Investment Plan (GNAIP) 2011-2015</w:t>
            </w:r>
            <w:r w:rsidR="00721FFF">
              <w:rPr>
                <w:noProof/>
                <w:webHidden/>
              </w:rPr>
              <w:tab/>
            </w:r>
            <w:r w:rsidR="00721FFF">
              <w:rPr>
                <w:noProof/>
                <w:webHidden/>
              </w:rPr>
              <w:fldChar w:fldCharType="begin"/>
            </w:r>
            <w:r w:rsidR="00721FFF">
              <w:rPr>
                <w:noProof/>
                <w:webHidden/>
              </w:rPr>
              <w:instrText xml:space="preserve"> PAGEREF _Toc427672785 \h </w:instrText>
            </w:r>
            <w:r w:rsidR="00721FFF">
              <w:rPr>
                <w:noProof/>
                <w:webHidden/>
              </w:rPr>
            </w:r>
            <w:r w:rsidR="00721FFF">
              <w:rPr>
                <w:noProof/>
                <w:webHidden/>
              </w:rPr>
              <w:fldChar w:fldCharType="separate"/>
            </w:r>
            <w:r w:rsidR="00721FFF">
              <w:rPr>
                <w:noProof/>
                <w:webHidden/>
              </w:rPr>
              <w:t>47</w:t>
            </w:r>
            <w:r w:rsidR="00721FFF">
              <w:rPr>
                <w:noProof/>
                <w:webHidden/>
              </w:rPr>
              <w:fldChar w:fldCharType="end"/>
            </w:r>
          </w:hyperlink>
        </w:p>
        <w:p w14:paraId="573368B3" w14:textId="77777777" w:rsidR="00721FFF" w:rsidRDefault="007710B3">
          <w:pPr>
            <w:pStyle w:val="TOC2"/>
            <w:rPr>
              <w:rFonts w:asciiTheme="minorHAnsi" w:eastAsiaTheme="minorEastAsia" w:hAnsiTheme="minorHAnsi" w:cstheme="minorBidi"/>
              <w:noProof/>
              <w:color w:val="auto"/>
            </w:rPr>
          </w:pPr>
          <w:hyperlink w:anchor="_Toc427672786" w:history="1">
            <w:r w:rsidR="00721FFF" w:rsidRPr="002B5FE5">
              <w:rPr>
                <w:rStyle w:val="Hyperlink"/>
                <w:noProof/>
              </w:rPr>
              <w:t>10.6 Act and regulations</w:t>
            </w:r>
            <w:r w:rsidR="00721FFF">
              <w:rPr>
                <w:noProof/>
                <w:webHidden/>
              </w:rPr>
              <w:tab/>
            </w:r>
            <w:r w:rsidR="00721FFF">
              <w:rPr>
                <w:noProof/>
                <w:webHidden/>
              </w:rPr>
              <w:fldChar w:fldCharType="begin"/>
            </w:r>
            <w:r w:rsidR="00721FFF">
              <w:rPr>
                <w:noProof/>
                <w:webHidden/>
              </w:rPr>
              <w:instrText xml:space="preserve"> PAGEREF _Toc427672786 \h </w:instrText>
            </w:r>
            <w:r w:rsidR="00721FFF">
              <w:rPr>
                <w:noProof/>
                <w:webHidden/>
              </w:rPr>
            </w:r>
            <w:r w:rsidR="00721FFF">
              <w:rPr>
                <w:noProof/>
                <w:webHidden/>
              </w:rPr>
              <w:fldChar w:fldCharType="separate"/>
            </w:r>
            <w:r w:rsidR="00721FFF">
              <w:rPr>
                <w:noProof/>
                <w:webHidden/>
              </w:rPr>
              <w:t>48</w:t>
            </w:r>
            <w:r w:rsidR="00721FFF">
              <w:rPr>
                <w:noProof/>
                <w:webHidden/>
              </w:rPr>
              <w:fldChar w:fldCharType="end"/>
            </w:r>
          </w:hyperlink>
        </w:p>
        <w:p w14:paraId="6A447B4F" w14:textId="77777777" w:rsidR="00721FFF" w:rsidRDefault="007710B3">
          <w:pPr>
            <w:pStyle w:val="TOC2"/>
            <w:rPr>
              <w:rFonts w:asciiTheme="minorHAnsi" w:eastAsiaTheme="minorEastAsia" w:hAnsiTheme="minorHAnsi" w:cstheme="minorBidi"/>
              <w:noProof/>
              <w:color w:val="auto"/>
            </w:rPr>
          </w:pPr>
          <w:hyperlink w:anchor="_Toc427672787" w:history="1">
            <w:r w:rsidR="00721FFF" w:rsidRPr="002B5FE5">
              <w:rPr>
                <w:rStyle w:val="Hyperlink"/>
                <w:noProof/>
              </w:rPr>
              <w:t>10.7 Institution – Food Safety and Quality Authority (FSQA)</w:t>
            </w:r>
            <w:r w:rsidR="00721FFF">
              <w:rPr>
                <w:noProof/>
                <w:webHidden/>
              </w:rPr>
              <w:tab/>
            </w:r>
            <w:r w:rsidR="00721FFF">
              <w:rPr>
                <w:noProof/>
                <w:webHidden/>
              </w:rPr>
              <w:fldChar w:fldCharType="begin"/>
            </w:r>
            <w:r w:rsidR="00721FFF">
              <w:rPr>
                <w:noProof/>
                <w:webHidden/>
              </w:rPr>
              <w:instrText xml:space="preserve"> PAGEREF _Toc427672787 \h </w:instrText>
            </w:r>
            <w:r w:rsidR="00721FFF">
              <w:rPr>
                <w:noProof/>
                <w:webHidden/>
              </w:rPr>
            </w:r>
            <w:r w:rsidR="00721FFF">
              <w:rPr>
                <w:noProof/>
                <w:webHidden/>
              </w:rPr>
              <w:fldChar w:fldCharType="separate"/>
            </w:r>
            <w:r w:rsidR="00721FFF">
              <w:rPr>
                <w:noProof/>
                <w:webHidden/>
              </w:rPr>
              <w:t>48</w:t>
            </w:r>
            <w:r w:rsidR="00721FFF">
              <w:rPr>
                <w:noProof/>
                <w:webHidden/>
              </w:rPr>
              <w:fldChar w:fldCharType="end"/>
            </w:r>
          </w:hyperlink>
        </w:p>
        <w:p w14:paraId="603B6F32" w14:textId="77777777" w:rsidR="00721FFF" w:rsidRDefault="007710B3">
          <w:pPr>
            <w:pStyle w:val="TOC2"/>
            <w:rPr>
              <w:rFonts w:asciiTheme="minorHAnsi" w:eastAsiaTheme="minorEastAsia" w:hAnsiTheme="minorHAnsi" w:cstheme="minorBidi"/>
              <w:noProof/>
              <w:color w:val="auto"/>
            </w:rPr>
          </w:pPr>
          <w:hyperlink w:anchor="_Toc427672788" w:history="1">
            <w:r w:rsidR="00721FFF" w:rsidRPr="002B5FE5">
              <w:rPr>
                <w:rStyle w:val="Hyperlink"/>
                <w:noProof/>
              </w:rPr>
              <w:t>10.8 Food standard systems, laboratory support services and human capacity to provide aflatoxin safe food to the public</w:t>
            </w:r>
            <w:r w:rsidR="00721FFF">
              <w:rPr>
                <w:noProof/>
                <w:webHidden/>
              </w:rPr>
              <w:tab/>
            </w:r>
            <w:r w:rsidR="00721FFF">
              <w:rPr>
                <w:noProof/>
                <w:webHidden/>
              </w:rPr>
              <w:fldChar w:fldCharType="begin"/>
            </w:r>
            <w:r w:rsidR="00721FFF">
              <w:rPr>
                <w:noProof/>
                <w:webHidden/>
              </w:rPr>
              <w:instrText xml:space="preserve"> PAGEREF _Toc427672788 \h </w:instrText>
            </w:r>
            <w:r w:rsidR="00721FFF">
              <w:rPr>
                <w:noProof/>
                <w:webHidden/>
              </w:rPr>
            </w:r>
            <w:r w:rsidR="00721FFF">
              <w:rPr>
                <w:noProof/>
                <w:webHidden/>
              </w:rPr>
              <w:fldChar w:fldCharType="separate"/>
            </w:r>
            <w:r w:rsidR="00721FFF">
              <w:rPr>
                <w:noProof/>
                <w:webHidden/>
              </w:rPr>
              <w:t>51</w:t>
            </w:r>
            <w:r w:rsidR="00721FFF">
              <w:rPr>
                <w:noProof/>
                <w:webHidden/>
              </w:rPr>
              <w:fldChar w:fldCharType="end"/>
            </w:r>
          </w:hyperlink>
        </w:p>
        <w:p w14:paraId="6325C7C6"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89" w:history="1">
            <w:r w:rsidR="00721FFF" w:rsidRPr="002B5FE5">
              <w:rPr>
                <w:rStyle w:val="Hyperlink"/>
                <w:noProof/>
              </w:rPr>
              <w:t>11.0 Conclusion</w:t>
            </w:r>
            <w:r w:rsidR="00721FFF">
              <w:rPr>
                <w:noProof/>
                <w:webHidden/>
              </w:rPr>
              <w:tab/>
            </w:r>
            <w:r w:rsidR="00721FFF">
              <w:rPr>
                <w:noProof/>
                <w:webHidden/>
              </w:rPr>
              <w:fldChar w:fldCharType="begin"/>
            </w:r>
            <w:r w:rsidR="00721FFF">
              <w:rPr>
                <w:noProof/>
                <w:webHidden/>
              </w:rPr>
              <w:instrText xml:space="preserve"> PAGEREF _Toc427672789 \h </w:instrText>
            </w:r>
            <w:r w:rsidR="00721FFF">
              <w:rPr>
                <w:noProof/>
                <w:webHidden/>
              </w:rPr>
            </w:r>
            <w:r w:rsidR="00721FFF">
              <w:rPr>
                <w:noProof/>
                <w:webHidden/>
              </w:rPr>
              <w:fldChar w:fldCharType="separate"/>
            </w:r>
            <w:r w:rsidR="00721FFF">
              <w:rPr>
                <w:noProof/>
                <w:webHidden/>
              </w:rPr>
              <w:t>52</w:t>
            </w:r>
            <w:r w:rsidR="00721FFF">
              <w:rPr>
                <w:noProof/>
                <w:webHidden/>
              </w:rPr>
              <w:fldChar w:fldCharType="end"/>
            </w:r>
          </w:hyperlink>
        </w:p>
        <w:p w14:paraId="3B6DE560" w14:textId="77777777" w:rsidR="00721FFF" w:rsidRDefault="007710B3">
          <w:pPr>
            <w:pStyle w:val="TOC1"/>
            <w:tabs>
              <w:tab w:val="right" w:leader="dot" w:pos="9350"/>
            </w:tabs>
            <w:rPr>
              <w:rFonts w:asciiTheme="minorHAnsi" w:eastAsiaTheme="minorEastAsia" w:hAnsiTheme="minorHAnsi" w:cstheme="minorBidi"/>
              <w:noProof/>
              <w:color w:val="auto"/>
            </w:rPr>
          </w:pPr>
          <w:hyperlink w:anchor="_Toc427672790" w:history="1">
            <w:r w:rsidR="00721FFF" w:rsidRPr="002B5FE5">
              <w:rPr>
                <w:rStyle w:val="Hyperlink"/>
                <w:noProof/>
              </w:rPr>
              <w:t>12.0 References</w:t>
            </w:r>
            <w:r w:rsidR="00721FFF">
              <w:rPr>
                <w:noProof/>
                <w:webHidden/>
              </w:rPr>
              <w:tab/>
            </w:r>
            <w:r w:rsidR="00721FFF">
              <w:rPr>
                <w:noProof/>
                <w:webHidden/>
              </w:rPr>
              <w:fldChar w:fldCharType="begin"/>
            </w:r>
            <w:r w:rsidR="00721FFF">
              <w:rPr>
                <w:noProof/>
                <w:webHidden/>
              </w:rPr>
              <w:instrText xml:space="preserve"> PAGEREF _Toc427672790 \h </w:instrText>
            </w:r>
            <w:r w:rsidR="00721FFF">
              <w:rPr>
                <w:noProof/>
                <w:webHidden/>
              </w:rPr>
            </w:r>
            <w:r w:rsidR="00721FFF">
              <w:rPr>
                <w:noProof/>
                <w:webHidden/>
              </w:rPr>
              <w:fldChar w:fldCharType="separate"/>
            </w:r>
            <w:r w:rsidR="00721FFF">
              <w:rPr>
                <w:noProof/>
                <w:webHidden/>
              </w:rPr>
              <w:t>53</w:t>
            </w:r>
            <w:r w:rsidR="00721FFF">
              <w:rPr>
                <w:noProof/>
                <w:webHidden/>
              </w:rPr>
              <w:fldChar w:fldCharType="end"/>
            </w:r>
          </w:hyperlink>
        </w:p>
        <w:p w14:paraId="11102B5A" w14:textId="11152D2D" w:rsidR="008732F6" w:rsidRDefault="008732F6">
          <w:r>
            <w:rPr>
              <w:b/>
              <w:bCs/>
              <w:noProof/>
            </w:rPr>
            <w:fldChar w:fldCharType="end"/>
          </w:r>
        </w:p>
      </w:sdtContent>
    </w:sdt>
    <w:p w14:paraId="09D6F429" w14:textId="77777777" w:rsidR="00D85F51" w:rsidRDefault="00D85F51" w:rsidP="00E61D71">
      <w:pPr>
        <w:spacing w:line="360" w:lineRule="auto"/>
        <w:jc w:val="both"/>
      </w:pPr>
    </w:p>
    <w:p w14:paraId="77176334" w14:textId="77777777" w:rsidR="00DD5A85" w:rsidRDefault="00DD5A85" w:rsidP="00E61D71">
      <w:pPr>
        <w:spacing w:line="360" w:lineRule="auto"/>
        <w:jc w:val="both"/>
      </w:pPr>
    </w:p>
    <w:p w14:paraId="00BD9491" w14:textId="77777777" w:rsidR="00DD5A85" w:rsidRDefault="00DD5A85" w:rsidP="00E61D71">
      <w:pPr>
        <w:spacing w:line="360" w:lineRule="auto"/>
        <w:jc w:val="both"/>
      </w:pPr>
    </w:p>
    <w:p w14:paraId="03F922B8" w14:textId="77777777" w:rsidR="00DD5A85" w:rsidRDefault="00DD5A85" w:rsidP="00E61D71">
      <w:pPr>
        <w:spacing w:line="360" w:lineRule="auto"/>
        <w:jc w:val="both"/>
      </w:pPr>
    </w:p>
    <w:p w14:paraId="07B5AE7C" w14:textId="77777777" w:rsidR="00DD5A85" w:rsidRDefault="00DD5A85" w:rsidP="00E61D71">
      <w:pPr>
        <w:spacing w:line="360" w:lineRule="auto"/>
        <w:jc w:val="both"/>
      </w:pPr>
    </w:p>
    <w:p w14:paraId="5FF38E83" w14:textId="77777777" w:rsidR="00DD5A85" w:rsidRDefault="00DD5A85" w:rsidP="00E61D71">
      <w:pPr>
        <w:spacing w:line="360" w:lineRule="auto"/>
        <w:jc w:val="both"/>
      </w:pPr>
    </w:p>
    <w:p w14:paraId="1DAF32C1" w14:textId="77777777" w:rsidR="00DD5A85" w:rsidRDefault="00DD5A85" w:rsidP="00E61D71">
      <w:pPr>
        <w:spacing w:line="360" w:lineRule="auto"/>
        <w:jc w:val="both"/>
      </w:pPr>
    </w:p>
    <w:p w14:paraId="58E16620" w14:textId="77777777" w:rsidR="00A02D4B" w:rsidRDefault="00A02D4B" w:rsidP="00C4501E">
      <w:pPr>
        <w:pStyle w:val="Heading1"/>
        <w:ind w:left="0" w:firstLine="0"/>
        <w:rPr>
          <w:rFonts w:ascii="Times New Roman" w:eastAsia="Times New Roman" w:hAnsi="Times New Roman" w:cs="Times New Roman"/>
          <w:b w:val="0"/>
          <w:sz w:val="22"/>
        </w:rPr>
      </w:pPr>
      <w:bookmarkStart w:id="1" w:name="_Toc427672738"/>
    </w:p>
    <w:p w14:paraId="53DE5F2D" w14:textId="77777777" w:rsidR="00A02D4B" w:rsidRPr="00A02D4B" w:rsidRDefault="00A02D4B" w:rsidP="00A02D4B"/>
    <w:p w14:paraId="1C55D4ED" w14:textId="14F61B31" w:rsidR="00A02D4B" w:rsidRPr="00A02D4B" w:rsidRDefault="009F0B07" w:rsidP="00A02D4B">
      <w:pPr>
        <w:pStyle w:val="Heading1"/>
        <w:ind w:left="0" w:firstLine="0"/>
        <w:rPr>
          <w:sz w:val="26"/>
        </w:rPr>
      </w:pPr>
      <w:r w:rsidRPr="004B57B2">
        <w:rPr>
          <w:sz w:val="26"/>
        </w:rPr>
        <w:lastRenderedPageBreak/>
        <w:t>List of Acronyms</w:t>
      </w:r>
      <w:bookmarkEnd w:id="1"/>
      <w:r w:rsidR="004D7389" w:rsidRPr="004B57B2">
        <w:rPr>
          <w:sz w:val="26"/>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8"/>
      </w:tblGrid>
      <w:tr w:rsidR="00E25B45" w14:paraId="2B7B8126" w14:textId="77777777" w:rsidTr="00A02D4B">
        <w:tc>
          <w:tcPr>
            <w:tcW w:w="2127" w:type="dxa"/>
          </w:tcPr>
          <w:p w14:paraId="7EF06DC0" w14:textId="22C7CFF6" w:rsidR="00E25B45" w:rsidRDefault="00E25B45" w:rsidP="00D85F51">
            <w:pPr>
              <w:spacing w:after="0" w:line="276" w:lineRule="auto"/>
              <w:ind w:left="0" w:firstLine="0"/>
              <w:jc w:val="both"/>
              <w:rPr>
                <w:b/>
              </w:rPr>
            </w:pPr>
            <w:r w:rsidRPr="009231BB">
              <w:t>AfricaAIMS</w:t>
            </w:r>
          </w:p>
        </w:tc>
        <w:tc>
          <w:tcPr>
            <w:tcW w:w="7228" w:type="dxa"/>
          </w:tcPr>
          <w:p w14:paraId="68AF6325" w14:textId="7E5CF158" w:rsidR="00E25B45" w:rsidRDefault="00E25B45" w:rsidP="00D85F51">
            <w:pPr>
              <w:spacing w:after="0" w:line="276" w:lineRule="auto"/>
              <w:ind w:left="0" w:firstLine="0"/>
              <w:jc w:val="both"/>
              <w:rPr>
                <w:b/>
              </w:rPr>
            </w:pPr>
            <w:r w:rsidRPr="009231BB">
              <w:t>Africa Aflatoxin</w:t>
            </w:r>
            <w:r>
              <w:t xml:space="preserve"> Information Management System</w:t>
            </w:r>
            <w:r w:rsidRPr="009231BB">
              <w:t xml:space="preserve"> </w:t>
            </w:r>
          </w:p>
        </w:tc>
      </w:tr>
      <w:tr w:rsidR="00E25B45" w14:paraId="7F133994" w14:textId="77777777" w:rsidTr="00A02D4B">
        <w:tc>
          <w:tcPr>
            <w:tcW w:w="2127" w:type="dxa"/>
          </w:tcPr>
          <w:p w14:paraId="462A4E8C" w14:textId="1DC12A6F" w:rsidR="00E25B45" w:rsidRPr="009231BB" w:rsidRDefault="00E25B45" w:rsidP="00D85F51">
            <w:pPr>
              <w:spacing w:after="0" w:line="276" w:lineRule="auto"/>
              <w:ind w:left="0" w:firstLine="0"/>
              <w:jc w:val="both"/>
              <w:rPr>
                <w:bCs/>
                <w:color w:val="000000" w:themeColor="text1"/>
              </w:rPr>
            </w:pPr>
            <w:r>
              <w:t>ANR</w:t>
            </w:r>
          </w:p>
        </w:tc>
        <w:tc>
          <w:tcPr>
            <w:tcW w:w="7228" w:type="dxa"/>
          </w:tcPr>
          <w:p w14:paraId="60141FC2" w14:textId="16859D33" w:rsidR="00E25B45" w:rsidRPr="009231BB" w:rsidRDefault="00E25B45" w:rsidP="00D85F51">
            <w:pPr>
              <w:spacing w:after="0" w:line="276" w:lineRule="auto"/>
              <w:ind w:left="0" w:firstLine="0"/>
              <w:jc w:val="both"/>
              <w:rPr>
                <w:bCs/>
                <w:color w:val="000000" w:themeColor="text1"/>
              </w:rPr>
            </w:pPr>
            <w:r>
              <w:t>Agriculture and Natural Resources</w:t>
            </w:r>
          </w:p>
        </w:tc>
      </w:tr>
      <w:tr w:rsidR="00D42A4F" w14:paraId="3D1E842F" w14:textId="77777777" w:rsidTr="00A02D4B">
        <w:tc>
          <w:tcPr>
            <w:tcW w:w="2127" w:type="dxa"/>
          </w:tcPr>
          <w:p w14:paraId="355BA190" w14:textId="1010B49E" w:rsidR="00D42A4F" w:rsidRDefault="00D42A4F" w:rsidP="00D85F51">
            <w:pPr>
              <w:spacing w:after="0" w:line="276" w:lineRule="auto"/>
              <w:ind w:left="0" w:firstLine="0"/>
              <w:jc w:val="both"/>
            </w:pPr>
            <w:r w:rsidRPr="00482385">
              <w:rPr>
                <w:color w:val="auto"/>
              </w:rPr>
              <w:t>ASPA</w:t>
            </w:r>
          </w:p>
        </w:tc>
        <w:tc>
          <w:tcPr>
            <w:tcW w:w="7228" w:type="dxa"/>
          </w:tcPr>
          <w:p w14:paraId="1751EDDA" w14:textId="6BEDD1D6" w:rsidR="00D42A4F" w:rsidRDefault="00D42A4F" w:rsidP="00D85F51">
            <w:pPr>
              <w:spacing w:after="0" w:line="276" w:lineRule="auto"/>
              <w:ind w:left="0" w:firstLine="0"/>
              <w:jc w:val="both"/>
            </w:pPr>
            <w:r w:rsidRPr="00482385">
              <w:rPr>
                <w:color w:val="auto"/>
              </w:rPr>
              <w:t xml:space="preserve">Association of Producer Associations </w:t>
            </w:r>
          </w:p>
        </w:tc>
      </w:tr>
      <w:tr w:rsidR="00E25B45" w14:paraId="5C0A8C54" w14:textId="77777777" w:rsidTr="00A02D4B">
        <w:tc>
          <w:tcPr>
            <w:tcW w:w="2127" w:type="dxa"/>
          </w:tcPr>
          <w:p w14:paraId="58CB2E9B" w14:textId="1EEC5BD6" w:rsidR="00E25B45" w:rsidRPr="009231BB" w:rsidRDefault="00E25B45" w:rsidP="00D85F51">
            <w:pPr>
              <w:spacing w:after="0" w:line="276" w:lineRule="auto"/>
              <w:ind w:left="0" w:firstLine="0"/>
              <w:jc w:val="both"/>
              <w:rPr>
                <w:bCs/>
                <w:color w:val="000000" w:themeColor="text1"/>
              </w:rPr>
            </w:pPr>
            <w:r w:rsidRPr="009231BB">
              <w:t>ATWG</w:t>
            </w:r>
          </w:p>
        </w:tc>
        <w:tc>
          <w:tcPr>
            <w:tcW w:w="7228" w:type="dxa"/>
          </w:tcPr>
          <w:p w14:paraId="05C7C62E" w14:textId="6C8BDDF5" w:rsidR="00E25B45" w:rsidRPr="009231BB" w:rsidRDefault="00E25B45" w:rsidP="00D85F51">
            <w:pPr>
              <w:spacing w:after="0" w:line="276" w:lineRule="auto"/>
              <w:ind w:left="0" w:firstLine="0"/>
              <w:jc w:val="both"/>
              <w:rPr>
                <w:bCs/>
                <w:color w:val="000000" w:themeColor="text1"/>
              </w:rPr>
            </w:pPr>
            <w:r>
              <w:t xml:space="preserve">Aflatoxin Technical Working Group </w:t>
            </w:r>
          </w:p>
        </w:tc>
      </w:tr>
      <w:tr w:rsidR="00A02D4B" w14:paraId="4A67F3A4" w14:textId="77777777" w:rsidTr="00A02D4B">
        <w:tc>
          <w:tcPr>
            <w:tcW w:w="2127" w:type="dxa"/>
          </w:tcPr>
          <w:p w14:paraId="5AFAC8CF" w14:textId="10FAAC67" w:rsidR="00A02D4B" w:rsidRPr="009231BB" w:rsidRDefault="00A02D4B" w:rsidP="00AB7A3A">
            <w:pPr>
              <w:spacing w:after="0" w:line="276" w:lineRule="auto"/>
              <w:ind w:left="0" w:firstLine="0"/>
              <w:jc w:val="both"/>
              <w:rPr>
                <w:bCs/>
                <w:color w:val="000000" w:themeColor="text1"/>
              </w:rPr>
            </w:pPr>
            <w:r>
              <w:rPr>
                <w:bCs/>
                <w:color w:val="000000" w:themeColor="text1"/>
              </w:rPr>
              <w:t>AUC</w:t>
            </w:r>
          </w:p>
        </w:tc>
        <w:tc>
          <w:tcPr>
            <w:tcW w:w="7228" w:type="dxa"/>
          </w:tcPr>
          <w:p w14:paraId="61F68C0F" w14:textId="5D45F195" w:rsidR="00A02D4B" w:rsidRPr="009231BB" w:rsidRDefault="00A02D4B" w:rsidP="00AB7A3A">
            <w:pPr>
              <w:spacing w:after="0" w:line="276" w:lineRule="auto"/>
              <w:ind w:left="0" w:firstLine="0"/>
              <w:jc w:val="both"/>
              <w:rPr>
                <w:bCs/>
                <w:color w:val="000000" w:themeColor="text1"/>
              </w:rPr>
            </w:pPr>
            <w:r>
              <w:rPr>
                <w:bCs/>
                <w:color w:val="000000" w:themeColor="text1"/>
              </w:rPr>
              <w:t>African Union Commission</w:t>
            </w:r>
          </w:p>
        </w:tc>
      </w:tr>
      <w:tr w:rsidR="00AB7A3A" w14:paraId="774695F5" w14:textId="77777777" w:rsidTr="00A02D4B">
        <w:tc>
          <w:tcPr>
            <w:tcW w:w="2127" w:type="dxa"/>
          </w:tcPr>
          <w:p w14:paraId="3365C7E6" w14:textId="77777777" w:rsidR="00AB7A3A" w:rsidRDefault="00AB7A3A" w:rsidP="00AB7A3A">
            <w:pPr>
              <w:spacing w:after="0" w:line="276" w:lineRule="auto"/>
              <w:ind w:left="0" w:firstLine="0"/>
              <w:jc w:val="both"/>
              <w:rPr>
                <w:b/>
              </w:rPr>
            </w:pPr>
            <w:r w:rsidRPr="009231BB">
              <w:rPr>
                <w:bCs/>
                <w:color w:val="000000" w:themeColor="text1"/>
              </w:rPr>
              <w:t>CAADP</w:t>
            </w:r>
          </w:p>
        </w:tc>
        <w:tc>
          <w:tcPr>
            <w:tcW w:w="7228" w:type="dxa"/>
          </w:tcPr>
          <w:p w14:paraId="62B28FE1" w14:textId="77777777" w:rsidR="00AB7A3A" w:rsidRDefault="00AB7A3A" w:rsidP="00AB7A3A">
            <w:pPr>
              <w:spacing w:after="0" w:line="276" w:lineRule="auto"/>
              <w:ind w:left="0" w:firstLine="0"/>
              <w:jc w:val="both"/>
              <w:rPr>
                <w:b/>
              </w:rPr>
            </w:pPr>
            <w:r w:rsidRPr="009231BB">
              <w:rPr>
                <w:bCs/>
                <w:color w:val="000000" w:themeColor="text1"/>
              </w:rPr>
              <w:t xml:space="preserve">Comprehensive Africa Agriculture Development Programme </w:t>
            </w:r>
          </w:p>
        </w:tc>
      </w:tr>
      <w:tr w:rsidR="001D03BF" w14:paraId="00D12289" w14:textId="77777777" w:rsidTr="00A02D4B">
        <w:tc>
          <w:tcPr>
            <w:tcW w:w="2127" w:type="dxa"/>
          </w:tcPr>
          <w:p w14:paraId="1CE8E3A4" w14:textId="5DD91531" w:rsidR="001D03BF" w:rsidRPr="009231BB" w:rsidRDefault="00740342" w:rsidP="00AB7A3A">
            <w:pPr>
              <w:spacing w:after="0" w:line="276" w:lineRule="auto"/>
              <w:ind w:left="0" w:firstLine="0"/>
              <w:jc w:val="both"/>
              <w:rPr>
                <w:bCs/>
                <w:color w:val="000000" w:themeColor="text1"/>
              </w:rPr>
            </w:pPr>
            <w:r>
              <w:t>CFR</w:t>
            </w:r>
          </w:p>
        </w:tc>
        <w:tc>
          <w:tcPr>
            <w:tcW w:w="7228" w:type="dxa"/>
          </w:tcPr>
          <w:p w14:paraId="2D71C64C" w14:textId="6CCFFBD4" w:rsidR="001D03BF" w:rsidRPr="009231BB" w:rsidRDefault="001D03BF" w:rsidP="00740342">
            <w:pPr>
              <w:spacing w:after="0" w:line="276" w:lineRule="auto"/>
              <w:ind w:left="0" w:firstLine="0"/>
              <w:jc w:val="both"/>
              <w:rPr>
                <w:bCs/>
                <w:color w:val="000000" w:themeColor="text1"/>
              </w:rPr>
            </w:pPr>
            <w:r>
              <w:t>Case Fatality R</w:t>
            </w:r>
            <w:r w:rsidR="00740342">
              <w:t xml:space="preserve">ation </w:t>
            </w:r>
          </w:p>
        </w:tc>
      </w:tr>
      <w:tr w:rsidR="00AB7A3A" w14:paraId="29429F76" w14:textId="77777777" w:rsidTr="00A02D4B">
        <w:tc>
          <w:tcPr>
            <w:tcW w:w="2127" w:type="dxa"/>
          </w:tcPr>
          <w:p w14:paraId="002D8FAD" w14:textId="5A35DDA1" w:rsidR="00AB7A3A" w:rsidRDefault="00AB7A3A" w:rsidP="00AB7A3A">
            <w:pPr>
              <w:spacing w:after="0" w:line="276" w:lineRule="auto"/>
              <w:ind w:left="0" w:firstLine="0"/>
              <w:jc w:val="both"/>
            </w:pPr>
            <w:r>
              <w:t>CPMS</w:t>
            </w:r>
          </w:p>
        </w:tc>
        <w:tc>
          <w:tcPr>
            <w:tcW w:w="7228" w:type="dxa"/>
          </w:tcPr>
          <w:p w14:paraId="6EED8635" w14:textId="5F844606" w:rsidR="00AB7A3A" w:rsidRDefault="00AB7A3A" w:rsidP="00AB7A3A">
            <w:pPr>
              <w:spacing w:after="0" w:line="276" w:lineRule="auto"/>
              <w:ind w:left="0" w:firstLine="0"/>
              <w:jc w:val="both"/>
            </w:pPr>
            <w:r>
              <w:t xml:space="preserve">Cooperative Produce Marketing Societies </w:t>
            </w:r>
          </w:p>
        </w:tc>
      </w:tr>
      <w:tr w:rsidR="00AB7A3A" w:rsidRPr="002067C0" w14:paraId="46478661" w14:textId="77777777" w:rsidTr="00A02D4B">
        <w:tc>
          <w:tcPr>
            <w:tcW w:w="2127" w:type="dxa"/>
          </w:tcPr>
          <w:p w14:paraId="14AC9FA2" w14:textId="409A96BC" w:rsidR="00AB7A3A" w:rsidRDefault="00AB7A3A" w:rsidP="00AB7A3A">
            <w:pPr>
              <w:spacing w:after="0" w:line="276" w:lineRule="auto"/>
              <w:ind w:left="0" w:firstLine="0"/>
              <w:jc w:val="both"/>
              <w:rPr>
                <w:rFonts w:eastAsia="Calibri"/>
              </w:rPr>
            </w:pPr>
            <w:r>
              <w:t>DALY</w:t>
            </w:r>
          </w:p>
        </w:tc>
        <w:tc>
          <w:tcPr>
            <w:tcW w:w="7228" w:type="dxa"/>
          </w:tcPr>
          <w:p w14:paraId="3D74D621" w14:textId="72C20A9F" w:rsidR="00AB7A3A" w:rsidRPr="00E4082F" w:rsidRDefault="00AB7A3A" w:rsidP="00AB7A3A">
            <w:pPr>
              <w:spacing w:after="0" w:line="276" w:lineRule="auto"/>
              <w:ind w:left="0" w:firstLine="0"/>
              <w:jc w:val="both"/>
              <w:rPr>
                <w:rFonts w:eastAsia="Calibri"/>
                <w:lang w:val="fr-FR"/>
              </w:rPr>
            </w:pPr>
            <w:r>
              <w:t xml:space="preserve">Disability-Adjusted Life Years </w:t>
            </w:r>
          </w:p>
        </w:tc>
      </w:tr>
      <w:tr w:rsidR="00AB7A3A" w:rsidRPr="002067C0" w14:paraId="45C937CB" w14:textId="77777777" w:rsidTr="00A02D4B">
        <w:tc>
          <w:tcPr>
            <w:tcW w:w="2127" w:type="dxa"/>
          </w:tcPr>
          <w:p w14:paraId="202FA206" w14:textId="17AA7290" w:rsidR="00AB7A3A" w:rsidRDefault="00AB7A3A" w:rsidP="00AB7A3A">
            <w:pPr>
              <w:spacing w:after="0" w:line="276" w:lineRule="auto"/>
              <w:ind w:left="0" w:firstLine="0"/>
              <w:jc w:val="both"/>
              <w:rPr>
                <w:rFonts w:eastAsia="Calibri"/>
              </w:rPr>
            </w:pPr>
            <w:r>
              <w:t>DoA</w:t>
            </w:r>
          </w:p>
        </w:tc>
        <w:tc>
          <w:tcPr>
            <w:tcW w:w="7228" w:type="dxa"/>
          </w:tcPr>
          <w:p w14:paraId="5E678E41" w14:textId="00F9B89C" w:rsidR="00AB7A3A" w:rsidRPr="00E4082F" w:rsidRDefault="00AB7A3A" w:rsidP="00AB7A3A">
            <w:pPr>
              <w:spacing w:after="0" w:line="276" w:lineRule="auto"/>
              <w:ind w:left="0" w:firstLine="0"/>
              <w:jc w:val="both"/>
              <w:rPr>
                <w:rFonts w:eastAsia="Calibri"/>
                <w:lang w:val="fr-FR"/>
              </w:rPr>
            </w:pPr>
            <w:r>
              <w:t>Department of Agriculture</w:t>
            </w:r>
          </w:p>
        </w:tc>
      </w:tr>
      <w:tr w:rsidR="00AB7A3A" w:rsidRPr="002067C0" w14:paraId="3A3D4EDC" w14:textId="77777777" w:rsidTr="00A02D4B">
        <w:tc>
          <w:tcPr>
            <w:tcW w:w="2127" w:type="dxa"/>
          </w:tcPr>
          <w:p w14:paraId="6B1B2933" w14:textId="072BF84A" w:rsidR="00AB7A3A" w:rsidRDefault="00AB7A3A" w:rsidP="00AB7A3A">
            <w:pPr>
              <w:spacing w:after="0" w:line="276" w:lineRule="auto"/>
              <w:ind w:left="0" w:firstLine="0"/>
              <w:jc w:val="both"/>
              <w:rPr>
                <w:rFonts w:eastAsia="Calibri"/>
              </w:rPr>
            </w:pPr>
            <w:r>
              <w:t>DLS</w:t>
            </w:r>
          </w:p>
        </w:tc>
        <w:tc>
          <w:tcPr>
            <w:tcW w:w="7228" w:type="dxa"/>
          </w:tcPr>
          <w:p w14:paraId="0C086CA9" w14:textId="3CE0EA87" w:rsidR="00AB7A3A" w:rsidRPr="00E4082F" w:rsidRDefault="00AB7A3A" w:rsidP="00AB7A3A">
            <w:pPr>
              <w:spacing w:after="0" w:line="276" w:lineRule="auto"/>
              <w:ind w:left="0" w:firstLine="0"/>
              <w:jc w:val="both"/>
              <w:rPr>
                <w:rFonts w:eastAsia="Calibri"/>
                <w:lang w:val="fr-FR"/>
              </w:rPr>
            </w:pPr>
            <w:r>
              <w:t>Department of Livestock Services</w:t>
            </w:r>
          </w:p>
        </w:tc>
      </w:tr>
      <w:tr w:rsidR="00AB7A3A" w:rsidRPr="002067C0" w14:paraId="66DEA4CB" w14:textId="77777777" w:rsidTr="00A02D4B">
        <w:tc>
          <w:tcPr>
            <w:tcW w:w="2127" w:type="dxa"/>
          </w:tcPr>
          <w:p w14:paraId="754BE145" w14:textId="054F6698" w:rsidR="00AB7A3A" w:rsidRDefault="00AB7A3A" w:rsidP="00AB7A3A">
            <w:pPr>
              <w:spacing w:after="0" w:line="276" w:lineRule="auto"/>
              <w:ind w:left="0" w:firstLine="0"/>
              <w:jc w:val="both"/>
            </w:pPr>
            <w:r>
              <w:rPr>
                <w:rFonts w:eastAsia="Calibri"/>
              </w:rPr>
              <w:t>DPV</w:t>
            </w:r>
          </w:p>
        </w:tc>
        <w:tc>
          <w:tcPr>
            <w:tcW w:w="7228" w:type="dxa"/>
          </w:tcPr>
          <w:p w14:paraId="7B0E18E9" w14:textId="521F89E4" w:rsidR="00AB7A3A" w:rsidRDefault="00AB7A3A" w:rsidP="00AB7A3A">
            <w:pPr>
              <w:spacing w:after="0" w:line="276" w:lineRule="auto"/>
              <w:ind w:left="0" w:firstLine="0"/>
              <w:jc w:val="both"/>
            </w:pPr>
            <w:r w:rsidRPr="00E4082F">
              <w:rPr>
                <w:rFonts w:eastAsia="Calibri"/>
                <w:lang w:val="fr-FR"/>
              </w:rPr>
              <w:t xml:space="preserve">Direction de la Protection des Vegetaux </w:t>
            </w:r>
          </w:p>
        </w:tc>
      </w:tr>
      <w:tr w:rsidR="00AB7A3A" w14:paraId="122CFDD2" w14:textId="77777777" w:rsidTr="00A02D4B">
        <w:tc>
          <w:tcPr>
            <w:tcW w:w="2127" w:type="dxa"/>
          </w:tcPr>
          <w:p w14:paraId="7FD85978" w14:textId="63121417" w:rsidR="00AB7A3A" w:rsidRDefault="00AB7A3A" w:rsidP="00AB7A3A">
            <w:pPr>
              <w:spacing w:after="0" w:line="276" w:lineRule="auto"/>
              <w:ind w:left="0" w:firstLine="0"/>
              <w:jc w:val="both"/>
            </w:pPr>
            <w:r w:rsidRPr="009231BB">
              <w:t>ECOWAP</w:t>
            </w:r>
          </w:p>
        </w:tc>
        <w:tc>
          <w:tcPr>
            <w:tcW w:w="7228" w:type="dxa"/>
          </w:tcPr>
          <w:p w14:paraId="29ED5D9C" w14:textId="289B5570" w:rsidR="00AB7A3A" w:rsidRPr="009231BB" w:rsidRDefault="00AB7A3A" w:rsidP="00AB7A3A">
            <w:pPr>
              <w:spacing w:after="0" w:line="276" w:lineRule="auto"/>
              <w:ind w:left="0" w:firstLine="0"/>
              <w:jc w:val="both"/>
            </w:pPr>
            <w:r>
              <w:t>Economic Community of West African States Agricultural Policy</w:t>
            </w:r>
          </w:p>
        </w:tc>
      </w:tr>
      <w:tr w:rsidR="00AB7A3A" w14:paraId="3567100C" w14:textId="77777777" w:rsidTr="00A02D4B">
        <w:tc>
          <w:tcPr>
            <w:tcW w:w="2127" w:type="dxa"/>
          </w:tcPr>
          <w:p w14:paraId="2B410256" w14:textId="2A7AF1CC" w:rsidR="00AB7A3A" w:rsidRPr="009231BB" w:rsidRDefault="00AB7A3A" w:rsidP="00AB7A3A">
            <w:pPr>
              <w:spacing w:after="0" w:line="276" w:lineRule="auto"/>
              <w:ind w:left="0" w:firstLine="0"/>
              <w:jc w:val="both"/>
            </w:pPr>
            <w:r>
              <w:t>ECOWAS</w:t>
            </w:r>
          </w:p>
        </w:tc>
        <w:tc>
          <w:tcPr>
            <w:tcW w:w="7228" w:type="dxa"/>
          </w:tcPr>
          <w:p w14:paraId="780365D8" w14:textId="499AF43A" w:rsidR="00AB7A3A" w:rsidRDefault="00AB7A3A" w:rsidP="00AB7A3A">
            <w:pPr>
              <w:spacing w:after="0" w:line="276" w:lineRule="auto"/>
              <w:ind w:left="0" w:firstLine="0"/>
              <w:jc w:val="both"/>
            </w:pPr>
            <w:r w:rsidRPr="009231BB">
              <w:t>Economic Community</w:t>
            </w:r>
            <w:r>
              <w:t xml:space="preserve"> of West African States </w:t>
            </w:r>
          </w:p>
        </w:tc>
      </w:tr>
      <w:tr w:rsidR="00AB7A3A" w14:paraId="2C020EE2" w14:textId="77777777" w:rsidTr="00A02D4B">
        <w:tc>
          <w:tcPr>
            <w:tcW w:w="2127" w:type="dxa"/>
          </w:tcPr>
          <w:p w14:paraId="0A9E4335" w14:textId="4E42785B" w:rsidR="00AB7A3A" w:rsidRPr="009231BB" w:rsidRDefault="00AB7A3A" w:rsidP="00AB7A3A">
            <w:pPr>
              <w:spacing w:after="0" w:line="276" w:lineRule="auto"/>
              <w:ind w:left="0" w:firstLine="0"/>
              <w:jc w:val="both"/>
            </w:pPr>
            <w:r>
              <w:t>EU</w:t>
            </w:r>
          </w:p>
        </w:tc>
        <w:tc>
          <w:tcPr>
            <w:tcW w:w="7228" w:type="dxa"/>
          </w:tcPr>
          <w:p w14:paraId="7484F6EE" w14:textId="67101F3C" w:rsidR="00AB7A3A" w:rsidRDefault="00AB7A3A" w:rsidP="00AB7A3A">
            <w:pPr>
              <w:spacing w:after="0" w:line="276" w:lineRule="auto"/>
              <w:ind w:left="0" w:firstLine="0"/>
              <w:jc w:val="both"/>
            </w:pPr>
            <w:r>
              <w:t>European Union</w:t>
            </w:r>
          </w:p>
        </w:tc>
      </w:tr>
      <w:tr w:rsidR="00976345" w14:paraId="5336B93F" w14:textId="77777777" w:rsidTr="00A02D4B">
        <w:tc>
          <w:tcPr>
            <w:tcW w:w="2127" w:type="dxa"/>
          </w:tcPr>
          <w:p w14:paraId="221E0830" w14:textId="50E4DD38" w:rsidR="00976345" w:rsidRDefault="00976345" w:rsidP="00976345">
            <w:pPr>
              <w:spacing w:after="0" w:line="276" w:lineRule="auto"/>
              <w:ind w:left="0" w:firstLine="0"/>
              <w:jc w:val="both"/>
            </w:pPr>
            <w:r>
              <w:t>FAO</w:t>
            </w:r>
          </w:p>
        </w:tc>
        <w:tc>
          <w:tcPr>
            <w:tcW w:w="7228" w:type="dxa"/>
          </w:tcPr>
          <w:p w14:paraId="752CD00F" w14:textId="770791AB" w:rsidR="00976345" w:rsidRPr="00FD25A4" w:rsidRDefault="00976345" w:rsidP="00976345">
            <w:pPr>
              <w:spacing w:after="0" w:line="276" w:lineRule="auto"/>
              <w:ind w:left="0" w:firstLine="0"/>
              <w:jc w:val="both"/>
            </w:pPr>
            <w:r>
              <w:t xml:space="preserve">Food and Agriculture Organization </w:t>
            </w:r>
          </w:p>
        </w:tc>
      </w:tr>
      <w:tr w:rsidR="00976345" w14:paraId="33A56F75" w14:textId="77777777" w:rsidTr="00A02D4B">
        <w:tc>
          <w:tcPr>
            <w:tcW w:w="2127" w:type="dxa"/>
          </w:tcPr>
          <w:p w14:paraId="6B77D35D" w14:textId="1E3BD4F9" w:rsidR="00976345" w:rsidRDefault="00976345" w:rsidP="00976345">
            <w:pPr>
              <w:spacing w:after="0" w:line="276" w:lineRule="auto"/>
              <w:ind w:left="0" w:firstLine="0"/>
              <w:jc w:val="both"/>
            </w:pPr>
            <w:r>
              <w:t>FBOs</w:t>
            </w:r>
          </w:p>
        </w:tc>
        <w:tc>
          <w:tcPr>
            <w:tcW w:w="7228" w:type="dxa"/>
          </w:tcPr>
          <w:p w14:paraId="6EF477D1" w14:textId="78661498" w:rsidR="00976345" w:rsidRDefault="00976345" w:rsidP="00976345">
            <w:pPr>
              <w:spacing w:after="0" w:line="276" w:lineRule="auto"/>
              <w:ind w:left="0" w:firstLine="0"/>
              <w:jc w:val="both"/>
            </w:pPr>
            <w:r>
              <w:t>Farmer Based Organizations</w:t>
            </w:r>
          </w:p>
        </w:tc>
      </w:tr>
      <w:tr w:rsidR="00976345" w14:paraId="25EB57C0" w14:textId="77777777" w:rsidTr="00A02D4B">
        <w:tc>
          <w:tcPr>
            <w:tcW w:w="2127" w:type="dxa"/>
          </w:tcPr>
          <w:p w14:paraId="3653C33B" w14:textId="7F7DDCFE" w:rsidR="00976345" w:rsidRDefault="00976345" w:rsidP="00976345">
            <w:pPr>
              <w:spacing w:after="0" w:line="276" w:lineRule="auto"/>
              <w:ind w:left="0" w:firstLine="0"/>
              <w:jc w:val="both"/>
            </w:pPr>
            <w:r>
              <w:t>FCAC</w:t>
            </w:r>
          </w:p>
        </w:tc>
        <w:tc>
          <w:tcPr>
            <w:tcW w:w="7228" w:type="dxa"/>
          </w:tcPr>
          <w:p w14:paraId="467587E6" w14:textId="1A93FC7A" w:rsidR="00976345" w:rsidRPr="00FD25A4" w:rsidRDefault="00976345" w:rsidP="00976345">
            <w:pPr>
              <w:spacing w:after="0" w:line="276" w:lineRule="auto"/>
              <w:ind w:left="0" w:firstLine="0"/>
              <w:jc w:val="both"/>
            </w:pPr>
            <w:r w:rsidRPr="00FD25A4">
              <w:t>Food Control Advisory Committee</w:t>
            </w:r>
            <w:r>
              <w:t xml:space="preserve"> </w:t>
            </w:r>
          </w:p>
        </w:tc>
      </w:tr>
      <w:tr w:rsidR="00976345" w14:paraId="7E497359" w14:textId="77777777" w:rsidTr="00A02D4B">
        <w:tc>
          <w:tcPr>
            <w:tcW w:w="2127" w:type="dxa"/>
          </w:tcPr>
          <w:p w14:paraId="599D2A13" w14:textId="52EFCAFF" w:rsidR="00976345" w:rsidRDefault="00976345" w:rsidP="00976345">
            <w:pPr>
              <w:spacing w:after="0" w:line="276" w:lineRule="auto"/>
              <w:ind w:left="0" w:firstLine="0"/>
              <w:jc w:val="both"/>
            </w:pPr>
            <w:r>
              <w:t>FFS</w:t>
            </w:r>
          </w:p>
        </w:tc>
        <w:tc>
          <w:tcPr>
            <w:tcW w:w="7228" w:type="dxa"/>
          </w:tcPr>
          <w:p w14:paraId="7D63F20A" w14:textId="544B7AA4" w:rsidR="00976345" w:rsidRPr="00FD25A4" w:rsidRDefault="00976345" w:rsidP="00976345">
            <w:pPr>
              <w:spacing w:after="0" w:line="276" w:lineRule="auto"/>
              <w:ind w:left="0" w:firstLine="0"/>
              <w:jc w:val="both"/>
            </w:pPr>
            <w:r>
              <w:t>Farmer Field School</w:t>
            </w:r>
          </w:p>
        </w:tc>
      </w:tr>
      <w:tr w:rsidR="00976345" w14:paraId="4FCC61C4" w14:textId="77777777" w:rsidTr="00A02D4B">
        <w:tc>
          <w:tcPr>
            <w:tcW w:w="2127" w:type="dxa"/>
          </w:tcPr>
          <w:p w14:paraId="197F0A36" w14:textId="17E7F68E" w:rsidR="00976345" w:rsidRDefault="00976345" w:rsidP="00976345">
            <w:pPr>
              <w:spacing w:after="0" w:line="276" w:lineRule="auto"/>
              <w:ind w:left="0" w:firstLine="0"/>
              <w:jc w:val="both"/>
            </w:pPr>
            <w:r>
              <w:t>FGD</w:t>
            </w:r>
          </w:p>
        </w:tc>
        <w:tc>
          <w:tcPr>
            <w:tcW w:w="7228" w:type="dxa"/>
          </w:tcPr>
          <w:p w14:paraId="39B78093" w14:textId="38EA54F1" w:rsidR="00976345" w:rsidRPr="00FD25A4" w:rsidRDefault="00976345" w:rsidP="00976345">
            <w:pPr>
              <w:spacing w:after="0" w:line="276" w:lineRule="auto"/>
              <w:ind w:left="0" w:firstLine="0"/>
              <w:jc w:val="both"/>
            </w:pPr>
            <w:r>
              <w:t>Focus Group Discussions</w:t>
            </w:r>
          </w:p>
        </w:tc>
      </w:tr>
      <w:tr w:rsidR="00976345" w14:paraId="4941FB62" w14:textId="77777777" w:rsidTr="00A02D4B">
        <w:tc>
          <w:tcPr>
            <w:tcW w:w="2127" w:type="dxa"/>
          </w:tcPr>
          <w:p w14:paraId="4713081C" w14:textId="01B73DB0" w:rsidR="00976345" w:rsidRPr="009231BB" w:rsidRDefault="00976345" w:rsidP="00976345">
            <w:pPr>
              <w:spacing w:after="0" w:line="276" w:lineRule="auto"/>
              <w:ind w:left="0" w:firstLine="0"/>
              <w:jc w:val="both"/>
            </w:pPr>
            <w:r>
              <w:t>FSQA</w:t>
            </w:r>
          </w:p>
        </w:tc>
        <w:tc>
          <w:tcPr>
            <w:tcW w:w="7228" w:type="dxa"/>
          </w:tcPr>
          <w:p w14:paraId="402AE939" w14:textId="2271D9BA" w:rsidR="00976345" w:rsidRPr="009231BB" w:rsidRDefault="00976345" w:rsidP="00976345">
            <w:pPr>
              <w:spacing w:after="0" w:line="276" w:lineRule="auto"/>
              <w:ind w:left="0" w:firstLine="0"/>
              <w:jc w:val="both"/>
            </w:pPr>
            <w:r>
              <w:t xml:space="preserve">Food Safety and Quality Authority </w:t>
            </w:r>
          </w:p>
        </w:tc>
      </w:tr>
      <w:tr w:rsidR="00976345" w14:paraId="693E8882" w14:textId="77777777" w:rsidTr="00A02D4B">
        <w:tc>
          <w:tcPr>
            <w:tcW w:w="2127" w:type="dxa"/>
          </w:tcPr>
          <w:p w14:paraId="7F21CD51" w14:textId="1F07C1CA" w:rsidR="00976345" w:rsidRDefault="00976345" w:rsidP="00976345">
            <w:pPr>
              <w:spacing w:after="0" w:line="276" w:lineRule="auto"/>
              <w:ind w:left="0" w:firstLine="0"/>
              <w:jc w:val="both"/>
            </w:pPr>
            <w:r>
              <w:t>GAP</w:t>
            </w:r>
          </w:p>
        </w:tc>
        <w:tc>
          <w:tcPr>
            <w:tcW w:w="7228" w:type="dxa"/>
          </w:tcPr>
          <w:p w14:paraId="4ECEA937" w14:textId="07A21EB4" w:rsidR="00976345" w:rsidRDefault="00976345" w:rsidP="00976345">
            <w:pPr>
              <w:spacing w:after="0" w:line="276" w:lineRule="auto"/>
              <w:ind w:left="0" w:firstLine="0"/>
              <w:jc w:val="both"/>
            </w:pPr>
            <w:r>
              <w:t>Good Agricultural Practices</w:t>
            </w:r>
          </w:p>
        </w:tc>
      </w:tr>
      <w:tr w:rsidR="00976345" w14:paraId="14DE3DDA" w14:textId="77777777" w:rsidTr="00A02D4B">
        <w:tc>
          <w:tcPr>
            <w:tcW w:w="2127" w:type="dxa"/>
          </w:tcPr>
          <w:p w14:paraId="507580AA" w14:textId="304E4929" w:rsidR="00976345" w:rsidRDefault="00976345" w:rsidP="00976345">
            <w:pPr>
              <w:spacing w:after="0" w:line="276" w:lineRule="auto"/>
              <w:ind w:left="0" w:firstLine="0"/>
              <w:jc w:val="both"/>
            </w:pPr>
            <w:r>
              <w:rPr>
                <w:rFonts w:eastAsia="Calibri"/>
              </w:rPr>
              <w:t>GGC</w:t>
            </w:r>
          </w:p>
        </w:tc>
        <w:tc>
          <w:tcPr>
            <w:tcW w:w="7228" w:type="dxa"/>
          </w:tcPr>
          <w:p w14:paraId="46D5D878" w14:textId="38A198FD" w:rsidR="00976345" w:rsidRDefault="00976345" w:rsidP="00976345">
            <w:pPr>
              <w:spacing w:after="0" w:line="276" w:lineRule="auto"/>
              <w:ind w:left="0" w:firstLine="0"/>
              <w:jc w:val="both"/>
            </w:pPr>
            <w:r>
              <w:rPr>
                <w:rFonts w:eastAsia="Calibri"/>
              </w:rPr>
              <w:t>The Gambia Groundnut Cor</w:t>
            </w:r>
            <w:r w:rsidRPr="00890AE0">
              <w:rPr>
                <w:rFonts w:eastAsia="Calibri"/>
              </w:rPr>
              <w:t>p</w:t>
            </w:r>
            <w:r>
              <w:rPr>
                <w:rFonts w:eastAsia="Calibri"/>
              </w:rPr>
              <w:t>oration</w:t>
            </w:r>
            <w:r w:rsidRPr="00890AE0">
              <w:rPr>
                <w:rFonts w:eastAsia="Calibri"/>
              </w:rPr>
              <w:t xml:space="preserve"> </w:t>
            </w:r>
          </w:p>
        </w:tc>
      </w:tr>
      <w:tr w:rsidR="00976345" w14:paraId="4A474B2E" w14:textId="77777777" w:rsidTr="00A02D4B">
        <w:tc>
          <w:tcPr>
            <w:tcW w:w="2127" w:type="dxa"/>
          </w:tcPr>
          <w:p w14:paraId="74CFC995" w14:textId="02534E31" w:rsidR="00976345" w:rsidRDefault="00976345" w:rsidP="00976345">
            <w:pPr>
              <w:spacing w:after="0" w:line="276" w:lineRule="auto"/>
              <w:ind w:left="0" w:firstLine="0"/>
              <w:jc w:val="both"/>
              <w:rPr>
                <w:rFonts w:eastAsia="Calibri"/>
              </w:rPr>
            </w:pPr>
            <w:r>
              <w:rPr>
                <w:rFonts w:eastAsia="Calibri"/>
              </w:rPr>
              <w:t>GHP</w:t>
            </w:r>
          </w:p>
        </w:tc>
        <w:tc>
          <w:tcPr>
            <w:tcW w:w="7228" w:type="dxa"/>
          </w:tcPr>
          <w:p w14:paraId="627554E9" w14:textId="64CF2641" w:rsidR="00976345" w:rsidRDefault="00976345" w:rsidP="00976345">
            <w:pPr>
              <w:spacing w:after="0" w:line="276" w:lineRule="auto"/>
              <w:ind w:left="0" w:firstLine="0"/>
              <w:jc w:val="both"/>
              <w:rPr>
                <w:rFonts w:eastAsia="Calibri"/>
              </w:rPr>
            </w:pPr>
            <w:r>
              <w:rPr>
                <w:rFonts w:eastAsia="Calibri"/>
              </w:rPr>
              <w:t>Good Hygienic Practices</w:t>
            </w:r>
          </w:p>
        </w:tc>
      </w:tr>
      <w:tr w:rsidR="00976345" w14:paraId="16B30520" w14:textId="77777777" w:rsidTr="00A02D4B">
        <w:tc>
          <w:tcPr>
            <w:tcW w:w="2127" w:type="dxa"/>
          </w:tcPr>
          <w:p w14:paraId="74BCC0C7" w14:textId="24861F08" w:rsidR="00976345" w:rsidRDefault="00976345" w:rsidP="00976345">
            <w:pPr>
              <w:spacing w:after="0" w:line="276" w:lineRule="auto"/>
              <w:ind w:left="0" w:firstLine="0"/>
              <w:jc w:val="both"/>
            </w:pPr>
            <w:r w:rsidRPr="009231BB">
              <w:t>GNAIP</w:t>
            </w:r>
          </w:p>
        </w:tc>
        <w:tc>
          <w:tcPr>
            <w:tcW w:w="7228" w:type="dxa"/>
          </w:tcPr>
          <w:p w14:paraId="083C91D3" w14:textId="4C030D07" w:rsidR="00976345" w:rsidRDefault="00976345" w:rsidP="00976345">
            <w:pPr>
              <w:spacing w:after="0" w:line="276" w:lineRule="auto"/>
              <w:ind w:left="0" w:firstLine="0"/>
              <w:jc w:val="both"/>
            </w:pPr>
            <w:r w:rsidRPr="009231BB">
              <w:t>Gambia National Agricultural Investment Plan</w:t>
            </w:r>
          </w:p>
        </w:tc>
      </w:tr>
      <w:tr w:rsidR="00976345" w14:paraId="273A0C7E" w14:textId="77777777" w:rsidTr="00A02D4B">
        <w:tc>
          <w:tcPr>
            <w:tcW w:w="2127" w:type="dxa"/>
          </w:tcPr>
          <w:p w14:paraId="0AD526E4" w14:textId="354A1117" w:rsidR="00976345" w:rsidRDefault="00976345" w:rsidP="00976345">
            <w:pPr>
              <w:spacing w:after="0" w:line="276" w:lineRule="auto"/>
              <w:ind w:left="0" w:firstLine="0"/>
              <w:jc w:val="both"/>
            </w:pPr>
            <w:r>
              <w:t>GoTG</w:t>
            </w:r>
          </w:p>
        </w:tc>
        <w:tc>
          <w:tcPr>
            <w:tcW w:w="7228" w:type="dxa"/>
          </w:tcPr>
          <w:p w14:paraId="2E41A3EA" w14:textId="122E5185" w:rsidR="00976345" w:rsidRDefault="00976345" w:rsidP="00976345">
            <w:pPr>
              <w:spacing w:after="0" w:line="276" w:lineRule="auto"/>
              <w:ind w:left="0" w:firstLine="0"/>
              <w:jc w:val="both"/>
            </w:pPr>
            <w:r>
              <w:t xml:space="preserve">Government of The Gambia </w:t>
            </w:r>
          </w:p>
        </w:tc>
      </w:tr>
      <w:tr w:rsidR="00976345" w14:paraId="48C21055" w14:textId="77777777" w:rsidTr="00A02D4B">
        <w:tc>
          <w:tcPr>
            <w:tcW w:w="2127" w:type="dxa"/>
          </w:tcPr>
          <w:p w14:paraId="201C4249" w14:textId="3D75569F" w:rsidR="00976345" w:rsidRPr="009231BB" w:rsidRDefault="00976345" w:rsidP="00976345">
            <w:pPr>
              <w:spacing w:after="0" w:line="276" w:lineRule="auto"/>
              <w:ind w:left="0" w:firstLine="0"/>
              <w:jc w:val="both"/>
            </w:pPr>
            <w:r>
              <w:t>HBV</w:t>
            </w:r>
          </w:p>
        </w:tc>
        <w:tc>
          <w:tcPr>
            <w:tcW w:w="7228" w:type="dxa"/>
          </w:tcPr>
          <w:p w14:paraId="7727B119" w14:textId="088B736D" w:rsidR="00976345" w:rsidRDefault="00976345" w:rsidP="00976345">
            <w:pPr>
              <w:spacing w:after="0" w:line="276" w:lineRule="auto"/>
              <w:ind w:left="0" w:firstLine="0"/>
              <w:jc w:val="both"/>
            </w:pPr>
            <w:r>
              <w:t xml:space="preserve">Hepatitis B Virus </w:t>
            </w:r>
          </w:p>
        </w:tc>
      </w:tr>
      <w:tr w:rsidR="00976345" w14:paraId="2892A7EC" w14:textId="77777777" w:rsidTr="00A02D4B">
        <w:tc>
          <w:tcPr>
            <w:tcW w:w="2127" w:type="dxa"/>
          </w:tcPr>
          <w:p w14:paraId="010253DB" w14:textId="1D40D64A" w:rsidR="00976345" w:rsidRDefault="00976345" w:rsidP="00976345">
            <w:pPr>
              <w:spacing w:after="0" w:line="276" w:lineRule="auto"/>
              <w:ind w:left="0" w:firstLine="0"/>
              <w:jc w:val="both"/>
            </w:pPr>
            <w:r>
              <w:t>HCC</w:t>
            </w:r>
          </w:p>
        </w:tc>
        <w:tc>
          <w:tcPr>
            <w:tcW w:w="7228" w:type="dxa"/>
          </w:tcPr>
          <w:p w14:paraId="515798ED" w14:textId="5F3A4A3F" w:rsidR="00976345" w:rsidRDefault="00976345" w:rsidP="00976345">
            <w:pPr>
              <w:spacing w:after="0" w:line="276" w:lineRule="auto"/>
              <w:ind w:left="0" w:firstLine="0"/>
              <w:jc w:val="both"/>
            </w:pPr>
            <w:r>
              <w:t>Hepatocel</w:t>
            </w:r>
            <w:r w:rsidR="00AE4684">
              <w:t xml:space="preserve">lular Carcinoma </w:t>
            </w:r>
          </w:p>
        </w:tc>
      </w:tr>
      <w:tr w:rsidR="00976345" w14:paraId="6BC1242E" w14:textId="77777777" w:rsidTr="00A02D4B">
        <w:tc>
          <w:tcPr>
            <w:tcW w:w="2127" w:type="dxa"/>
          </w:tcPr>
          <w:p w14:paraId="622C5431" w14:textId="534B27CF" w:rsidR="00976345" w:rsidRDefault="00976345" w:rsidP="00976345">
            <w:pPr>
              <w:spacing w:after="0" w:line="276" w:lineRule="auto"/>
              <w:ind w:left="0" w:firstLine="0"/>
              <w:jc w:val="both"/>
            </w:pPr>
            <w:r w:rsidRPr="009231BB">
              <w:t>HIV</w:t>
            </w:r>
          </w:p>
        </w:tc>
        <w:tc>
          <w:tcPr>
            <w:tcW w:w="7228" w:type="dxa"/>
          </w:tcPr>
          <w:p w14:paraId="59A6B6D6" w14:textId="209A461E" w:rsidR="00976345" w:rsidRDefault="00AE4684" w:rsidP="00AE4684">
            <w:pPr>
              <w:spacing w:after="0" w:line="276" w:lineRule="auto"/>
              <w:ind w:left="0" w:firstLine="0"/>
              <w:jc w:val="both"/>
            </w:pPr>
            <w:r>
              <w:t>H</w:t>
            </w:r>
            <w:r w:rsidR="00976345" w:rsidRPr="009231BB">
              <w:t xml:space="preserve">uman </w:t>
            </w:r>
            <w:r>
              <w:t>I</w:t>
            </w:r>
            <w:r w:rsidR="00976345" w:rsidRPr="009231BB">
              <w:t xml:space="preserve">mmunodeficiency </w:t>
            </w:r>
            <w:r>
              <w:t>V</w:t>
            </w:r>
            <w:r w:rsidR="00976345" w:rsidRPr="009231BB">
              <w:t xml:space="preserve">irus </w:t>
            </w:r>
          </w:p>
        </w:tc>
      </w:tr>
      <w:tr w:rsidR="00976345" w14:paraId="01653231" w14:textId="77777777" w:rsidTr="00A02D4B">
        <w:tc>
          <w:tcPr>
            <w:tcW w:w="2127" w:type="dxa"/>
          </w:tcPr>
          <w:p w14:paraId="2C00AE50" w14:textId="246AC954" w:rsidR="00976345" w:rsidRPr="009231BB" w:rsidRDefault="00976345" w:rsidP="00976345">
            <w:pPr>
              <w:spacing w:after="0" w:line="276" w:lineRule="auto"/>
              <w:ind w:left="0" w:firstLine="0"/>
              <w:jc w:val="both"/>
            </w:pPr>
            <w:r>
              <w:rPr>
                <w:rFonts w:eastAsia="Calibri"/>
              </w:rPr>
              <w:t>HPS</w:t>
            </w:r>
          </w:p>
        </w:tc>
        <w:tc>
          <w:tcPr>
            <w:tcW w:w="7228" w:type="dxa"/>
          </w:tcPr>
          <w:p w14:paraId="312C0915" w14:textId="2FBA5570" w:rsidR="00976345" w:rsidRPr="009231BB" w:rsidRDefault="00976345" w:rsidP="00976345">
            <w:pPr>
              <w:spacing w:after="0" w:line="276" w:lineRule="auto"/>
              <w:ind w:left="0" w:firstLine="0"/>
              <w:jc w:val="both"/>
            </w:pPr>
            <w:r>
              <w:rPr>
                <w:rFonts w:eastAsia="Calibri"/>
              </w:rPr>
              <w:t>Hand Picked Selected</w:t>
            </w:r>
          </w:p>
        </w:tc>
      </w:tr>
      <w:tr w:rsidR="00976345" w14:paraId="1FD1FDD7" w14:textId="77777777" w:rsidTr="00A02D4B">
        <w:tc>
          <w:tcPr>
            <w:tcW w:w="2127" w:type="dxa"/>
          </w:tcPr>
          <w:p w14:paraId="34F612CD" w14:textId="7196A563" w:rsidR="00976345" w:rsidRDefault="00976345" w:rsidP="00976345">
            <w:pPr>
              <w:spacing w:after="0" w:line="276" w:lineRule="auto"/>
              <w:ind w:left="0" w:firstLine="0"/>
              <w:jc w:val="both"/>
              <w:rPr>
                <w:rFonts w:eastAsia="Calibri"/>
              </w:rPr>
            </w:pPr>
            <w:r w:rsidRPr="00184072">
              <w:t>IDSR</w:t>
            </w:r>
          </w:p>
        </w:tc>
        <w:tc>
          <w:tcPr>
            <w:tcW w:w="7228" w:type="dxa"/>
          </w:tcPr>
          <w:p w14:paraId="5F3C1A83" w14:textId="294A277B" w:rsidR="00976345" w:rsidRDefault="00976345" w:rsidP="00976345">
            <w:pPr>
              <w:spacing w:after="0" w:line="276" w:lineRule="auto"/>
              <w:ind w:left="0" w:firstLine="0"/>
              <w:jc w:val="both"/>
              <w:rPr>
                <w:rFonts w:eastAsia="Calibri"/>
              </w:rPr>
            </w:pPr>
            <w:r w:rsidRPr="00184072">
              <w:t>Integrated Disease Surveillance and Response</w:t>
            </w:r>
          </w:p>
        </w:tc>
      </w:tr>
      <w:tr w:rsidR="00976345" w14:paraId="1A2740E2" w14:textId="77777777" w:rsidTr="00A02D4B">
        <w:tc>
          <w:tcPr>
            <w:tcW w:w="2127" w:type="dxa"/>
          </w:tcPr>
          <w:p w14:paraId="00BE1335" w14:textId="6C91851D" w:rsidR="00976345" w:rsidRPr="009231BB" w:rsidRDefault="00976345" w:rsidP="00976345">
            <w:pPr>
              <w:spacing w:after="0" w:line="276" w:lineRule="auto"/>
              <w:ind w:left="0" w:firstLine="0"/>
              <w:jc w:val="both"/>
            </w:pPr>
            <w:r w:rsidRPr="00890AE0">
              <w:rPr>
                <w:rFonts w:eastAsia="Calibri"/>
              </w:rPr>
              <w:t>IITA</w:t>
            </w:r>
          </w:p>
        </w:tc>
        <w:tc>
          <w:tcPr>
            <w:tcW w:w="7228" w:type="dxa"/>
          </w:tcPr>
          <w:p w14:paraId="16F39852" w14:textId="5CA11800" w:rsidR="00976345" w:rsidRPr="009231BB" w:rsidRDefault="00976345" w:rsidP="00976345">
            <w:pPr>
              <w:spacing w:after="0" w:line="276" w:lineRule="auto"/>
              <w:ind w:left="0" w:firstLine="0"/>
              <w:jc w:val="both"/>
            </w:pPr>
            <w:r>
              <w:rPr>
                <w:rFonts w:eastAsia="Calibri"/>
              </w:rPr>
              <w:t xml:space="preserve">International Institute for Tropical Agriculture </w:t>
            </w:r>
          </w:p>
        </w:tc>
      </w:tr>
      <w:tr w:rsidR="00976345" w14:paraId="1DE963E1" w14:textId="77777777" w:rsidTr="00A02D4B">
        <w:tc>
          <w:tcPr>
            <w:tcW w:w="2127" w:type="dxa"/>
          </w:tcPr>
          <w:p w14:paraId="06FEE722" w14:textId="1DA9631E" w:rsidR="00976345" w:rsidRPr="00890AE0" w:rsidRDefault="00976345" w:rsidP="00976345">
            <w:pPr>
              <w:spacing w:after="0" w:line="276" w:lineRule="auto"/>
              <w:ind w:left="0" w:firstLine="0"/>
              <w:jc w:val="both"/>
              <w:rPr>
                <w:rFonts w:eastAsia="Calibri"/>
              </w:rPr>
            </w:pPr>
            <w:r>
              <w:rPr>
                <w:rFonts w:eastAsia="Calibri"/>
              </w:rPr>
              <w:t>MICS</w:t>
            </w:r>
          </w:p>
        </w:tc>
        <w:tc>
          <w:tcPr>
            <w:tcW w:w="7228" w:type="dxa"/>
          </w:tcPr>
          <w:p w14:paraId="7BF5C091" w14:textId="331BFD2A" w:rsidR="00976345" w:rsidRDefault="00976345" w:rsidP="00976345">
            <w:pPr>
              <w:spacing w:after="0" w:line="276" w:lineRule="auto"/>
              <w:ind w:left="0" w:firstLine="0"/>
              <w:jc w:val="both"/>
              <w:rPr>
                <w:rFonts w:eastAsia="Calibri"/>
              </w:rPr>
            </w:pPr>
            <w:r>
              <w:rPr>
                <w:rFonts w:eastAsia="Calibri"/>
              </w:rPr>
              <w:t xml:space="preserve">Multi Indicator Cluster Survey </w:t>
            </w:r>
          </w:p>
        </w:tc>
      </w:tr>
      <w:tr w:rsidR="00976345" w14:paraId="63688591" w14:textId="77777777" w:rsidTr="00A02D4B">
        <w:tc>
          <w:tcPr>
            <w:tcW w:w="2127" w:type="dxa"/>
          </w:tcPr>
          <w:p w14:paraId="1E81B245" w14:textId="240CBC17" w:rsidR="00976345" w:rsidRPr="009231BB" w:rsidRDefault="00976345" w:rsidP="00976345">
            <w:pPr>
              <w:spacing w:after="0" w:line="276" w:lineRule="auto"/>
              <w:ind w:left="0" w:firstLine="0"/>
              <w:jc w:val="both"/>
            </w:pPr>
            <w:r>
              <w:t>NARI</w:t>
            </w:r>
          </w:p>
        </w:tc>
        <w:tc>
          <w:tcPr>
            <w:tcW w:w="7228" w:type="dxa"/>
          </w:tcPr>
          <w:p w14:paraId="70A0C9BF" w14:textId="7A104DF3" w:rsidR="00976345" w:rsidRPr="009231BB" w:rsidRDefault="00976345" w:rsidP="00976345">
            <w:pPr>
              <w:spacing w:after="0" w:line="276" w:lineRule="auto"/>
              <w:ind w:left="0" w:firstLine="0"/>
              <w:jc w:val="both"/>
            </w:pPr>
            <w:r w:rsidRPr="009231BB">
              <w:t>National Agricu</w:t>
            </w:r>
            <w:r>
              <w:t xml:space="preserve">ltural Research Institute </w:t>
            </w:r>
          </w:p>
        </w:tc>
      </w:tr>
      <w:tr w:rsidR="00976345" w14:paraId="20376E8B" w14:textId="77777777" w:rsidTr="00A02D4B">
        <w:tc>
          <w:tcPr>
            <w:tcW w:w="2127" w:type="dxa"/>
          </w:tcPr>
          <w:p w14:paraId="2E5D8505" w14:textId="7BF231D6" w:rsidR="00976345" w:rsidRPr="009231BB" w:rsidRDefault="00976345" w:rsidP="00976345">
            <w:pPr>
              <w:spacing w:after="0" w:line="276" w:lineRule="auto"/>
              <w:ind w:left="0" w:firstLine="0"/>
              <w:jc w:val="both"/>
            </w:pPr>
            <w:r>
              <w:t>NCR</w:t>
            </w:r>
          </w:p>
        </w:tc>
        <w:tc>
          <w:tcPr>
            <w:tcW w:w="7228" w:type="dxa"/>
          </w:tcPr>
          <w:p w14:paraId="54C4E2A3" w14:textId="6EF3FE6A" w:rsidR="00976345" w:rsidRPr="009231BB" w:rsidRDefault="00976345" w:rsidP="00976345">
            <w:pPr>
              <w:spacing w:after="0" w:line="276" w:lineRule="auto"/>
              <w:ind w:left="0" w:firstLine="0"/>
              <w:jc w:val="both"/>
            </w:pPr>
            <w:r>
              <w:t xml:space="preserve">Net Cash Receipt </w:t>
            </w:r>
          </w:p>
        </w:tc>
      </w:tr>
      <w:tr w:rsidR="00976345" w14:paraId="6DCB4FA8" w14:textId="77777777" w:rsidTr="00A02D4B">
        <w:tc>
          <w:tcPr>
            <w:tcW w:w="2127" w:type="dxa"/>
          </w:tcPr>
          <w:p w14:paraId="198F2E00" w14:textId="2BBBD3A6" w:rsidR="00976345" w:rsidRDefault="00976345" w:rsidP="00976345">
            <w:pPr>
              <w:spacing w:after="0" w:line="276" w:lineRule="auto"/>
              <w:ind w:left="0" w:firstLine="0"/>
              <w:jc w:val="both"/>
            </w:pPr>
            <w:r>
              <w:t>PACA</w:t>
            </w:r>
          </w:p>
        </w:tc>
        <w:tc>
          <w:tcPr>
            <w:tcW w:w="7228" w:type="dxa"/>
          </w:tcPr>
          <w:p w14:paraId="24E484E7" w14:textId="5C3C3762" w:rsidR="00976345" w:rsidRDefault="00976345" w:rsidP="00976345">
            <w:pPr>
              <w:spacing w:after="0" w:line="276" w:lineRule="auto"/>
              <w:ind w:left="0" w:firstLine="0"/>
              <w:jc w:val="both"/>
            </w:pPr>
            <w:r w:rsidRPr="009231BB">
              <w:rPr>
                <w:bCs/>
                <w:color w:val="000000" w:themeColor="text1"/>
              </w:rPr>
              <w:t>Partnership for Aflatoxin Control</w:t>
            </w:r>
            <w:r w:rsidR="00A02D4B">
              <w:rPr>
                <w:bCs/>
                <w:color w:val="000000" w:themeColor="text1"/>
              </w:rPr>
              <w:t xml:space="preserve"> in Africa</w:t>
            </w:r>
          </w:p>
        </w:tc>
      </w:tr>
      <w:tr w:rsidR="00976345" w14:paraId="6EA9D9C2" w14:textId="77777777" w:rsidTr="00A02D4B">
        <w:tc>
          <w:tcPr>
            <w:tcW w:w="2127" w:type="dxa"/>
          </w:tcPr>
          <w:p w14:paraId="6D96EECA" w14:textId="49581549" w:rsidR="00976345" w:rsidRPr="009231BB" w:rsidRDefault="0047243B" w:rsidP="00976345">
            <w:pPr>
              <w:spacing w:after="0" w:line="276" w:lineRule="auto"/>
              <w:ind w:left="0" w:firstLine="0"/>
              <w:jc w:val="both"/>
            </w:pPr>
            <w:r>
              <w:t>p</w:t>
            </w:r>
            <w:r w:rsidR="00976345" w:rsidRPr="009231BB">
              <w:t>pb</w:t>
            </w:r>
          </w:p>
        </w:tc>
        <w:tc>
          <w:tcPr>
            <w:tcW w:w="7228" w:type="dxa"/>
          </w:tcPr>
          <w:p w14:paraId="5253A9E7" w14:textId="4D7EC41A" w:rsidR="00976345" w:rsidRPr="009231BB" w:rsidRDefault="00976345" w:rsidP="00976345">
            <w:pPr>
              <w:spacing w:after="0" w:line="276" w:lineRule="auto"/>
              <w:ind w:left="0" w:firstLine="0"/>
              <w:jc w:val="both"/>
            </w:pPr>
            <w:r w:rsidRPr="009231BB">
              <w:t xml:space="preserve">parts per billion </w:t>
            </w:r>
          </w:p>
        </w:tc>
      </w:tr>
      <w:tr w:rsidR="00976345" w14:paraId="41060556" w14:textId="77777777" w:rsidTr="00A02D4B">
        <w:tc>
          <w:tcPr>
            <w:tcW w:w="2127" w:type="dxa"/>
          </w:tcPr>
          <w:p w14:paraId="0C78428B" w14:textId="6676E582" w:rsidR="00976345" w:rsidRPr="009231BB" w:rsidRDefault="00976345" w:rsidP="00976345">
            <w:pPr>
              <w:spacing w:after="0" w:line="276" w:lineRule="auto"/>
              <w:ind w:left="0" w:firstLine="0"/>
              <w:jc w:val="both"/>
            </w:pPr>
            <w:r>
              <w:rPr>
                <w:color w:val="auto"/>
              </w:rPr>
              <w:t>REC</w:t>
            </w:r>
          </w:p>
        </w:tc>
        <w:tc>
          <w:tcPr>
            <w:tcW w:w="7228" w:type="dxa"/>
          </w:tcPr>
          <w:p w14:paraId="7C9D7E5F" w14:textId="0B0E736C" w:rsidR="00976345" w:rsidRPr="009231BB" w:rsidRDefault="00976345" w:rsidP="00976345">
            <w:pPr>
              <w:spacing w:after="0" w:line="276" w:lineRule="auto"/>
              <w:ind w:left="0" w:firstLine="0"/>
              <w:jc w:val="both"/>
            </w:pPr>
            <w:r w:rsidRPr="002B5108">
              <w:rPr>
                <w:color w:val="auto"/>
              </w:rPr>
              <w:t>Regional Economic Communities</w:t>
            </w:r>
            <w:r>
              <w:rPr>
                <w:color w:val="auto"/>
              </w:rPr>
              <w:t xml:space="preserve"> </w:t>
            </w:r>
          </w:p>
        </w:tc>
      </w:tr>
      <w:tr w:rsidR="00976345" w14:paraId="7BDDECF8" w14:textId="77777777" w:rsidTr="00A02D4B">
        <w:tc>
          <w:tcPr>
            <w:tcW w:w="2127" w:type="dxa"/>
          </w:tcPr>
          <w:p w14:paraId="0839D4EE" w14:textId="5A1C034B" w:rsidR="00976345" w:rsidRPr="009231BB" w:rsidRDefault="00976345" w:rsidP="00976345">
            <w:pPr>
              <w:spacing w:after="0" w:line="276" w:lineRule="auto"/>
              <w:ind w:left="0" w:firstLine="0"/>
              <w:jc w:val="both"/>
            </w:pPr>
            <w:r>
              <w:t>SAD</w:t>
            </w:r>
          </w:p>
        </w:tc>
        <w:tc>
          <w:tcPr>
            <w:tcW w:w="7228" w:type="dxa"/>
          </w:tcPr>
          <w:p w14:paraId="2DAA5DD1" w14:textId="47DCF098" w:rsidR="00976345" w:rsidRPr="009231BB" w:rsidRDefault="00976345" w:rsidP="00976345">
            <w:pPr>
              <w:spacing w:after="0" w:line="276" w:lineRule="auto"/>
              <w:ind w:left="0" w:firstLine="0"/>
              <w:jc w:val="both"/>
            </w:pPr>
            <w:r>
              <w:t xml:space="preserve">Scientific Affairs Directorate </w:t>
            </w:r>
          </w:p>
        </w:tc>
      </w:tr>
      <w:tr w:rsidR="00976345" w14:paraId="531413D8" w14:textId="77777777" w:rsidTr="00A02D4B">
        <w:tc>
          <w:tcPr>
            <w:tcW w:w="2127" w:type="dxa"/>
          </w:tcPr>
          <w:p w14:paraId="193EA2F8" w14:textId="444A32A4" w:rsidR="00976345" w:rsidRDefault="00976345" w:rsidP="00976345">
            <w:pPr>
              <w:spacing w:after="0" w:line="276" w:lineRule="auto"/>
              <w:ind w:left="0" w:firstLine="0"/>
              <w:jc w:val="both"/>
            </w:pPr>
            <w:r>
              <w:t>SC</w:t>
            </w:r>
          </w:p>
        </w:tc>
        <w:tc>
          <w:tcPr>
            <w:tcW w:w="7228" w:type="dxa"/>
          </w:tcPr>
          <w:p w14:paraId="12FEC68F" w14:textId="370C2CB1" w:rsidR="00976345" w:rsidRDefault="00976345" w:rsidP="00976345">
            <w:pPr>
              <w:spacing w:after="0" w:line="276" w:lineRule="auto"/>
              <w:ind w:left="0" w:firstLine="0"/>
              <w:jc w:val="both"/>
            </w:pPr>
            <w:r>
              <w:t>Scientific Committee</w:t>
            </w:r>
          </w:p>
        </w:tc>
      </w:tr>
      <w:tr w:rsidR="00976345" w14:paraId="3A4723CD" w14:textId="77777777" w:rsidTr="00A02D4B">
        <w:tc>
          <w:tcPr>
            <w:tcW w:w="2127" w:type="dxa"/>
          </w:tcPr>
          <w:p w14:paraId="451694E1" w14:textId="563540EB" w:rsidR="00976345" w:rsidRDefault="00976345" w:rsidP="00976345">
            <w:pPr>
              <w:spacing w:after="0" w:line="276" w:lineRule="auto"/>
              <w:ind w:left="0" w:firstLine="0"/>
              <w:jc w:val="both"/>
            </w:pPr>
            <w:r>
              <w:t>SCF</w:t>
            </w:r>
          </w:p>
        </w:tc>
        <w:tc>
          <w:tcPr>
            <w:tcW w:w="7228" w:type="dxa"/>
          </w:tcPr>
          <w:p w14:paraId="0E5A53A2" w14:textId="60ACD8EE" w:rsidR="00976345" w:rsidRDefault="00976345" w:rsidP="00976345">
            <w:pPr>
              <w:spacing w:after="0" w:line="276" w:lineRule="auto"/>
              <w:ind w:left="0" w:firstLine="0"/>
              <w:jc w:val="both"/>
            </w:pPr>
            <w:r>
              <w:t>Stakeholder Consultative Committee</w:t>
            </w:r>
          </w:p>
        </w:tc>
      </w:tr>
      <w:tr w:rsidR="00976345" w14:paraId="3ABC73A8" w14:textId="77777777" w:rsidTr="00A02D4B">
        <w:tc>
          <w:tcPr>
            <w:tcW w:w="2127" w:type="dxa"/>
          </w:tcPr>
          <w:p w14:paraId="15483526" w14:textId="53A97379" w:rsidR="00976345" w:rsidRDefault="00976345" w:rsidP="00976345">
            <w:pPr>
              <w:spacing w:after="0" w:line="276" w:lineRule="auto"/>
              <w:ind w:left="0" w:firstLine="0"/>
              <w:jc w:val="both"/>
              <w:rPr>
                <w:b/>
              </w:rPr>
            </w:pPr>
            <w:r>
              <w:rPr>
                <w:bCs/>
                <w:color w:val="000000" w:themeColor="text1"/>
              </w:rPr>
              <w:t>SPS</w:t>
            </w:r>
          </w:p>
        </w:tc>
        <w:tc>
          <w:tcPr>
            <w:tcW w:w="7228" w:type="dxa"/>
          </w:tcPr>
          <w:p w14:paraId="0E2BA097" w14:textId="26BFC558" w:rsidR="00976345" w:rsidRDefault="00976345" w:rsidP="00976345">
            <w:pPr>
              <w:spacing w:after="0" w:line="276" w:lineRule="auto"/>
              <w:ind w:left="0" w:firstLine="0"/>
              <w:jc w:val="both"/>
              <w:rPr>
                <w:b/>
              </w:rPr>
            </w:pPr>
            <w:r>
              <w:rPr>
                <w:bCs/>
                <w:color w:val="000000" w:themeColor="text1"/>
              </w:rPr>
              <w:t>Sanitary/Phytosanitary</w:t>
            </w:r>
          </w:p>
        </w:tc>
      </w:tr>
      <w:tr w:rsidR="00976345" w14:paraId="62D46BC6" w14:textId="77777777" w:rsidTr="00A02D4B">
        <w:tc>
          <w:tcPr>
            <w:tcW w:w="2127" w:type="dxa"/>
          </w:tcPr>
          <w:p w14:paraId="22FF91D2" w14:textId="0D795624" w:rsidR="00976345" w:rsidRDefault="00976345" w:rsidP="00976345">
            <w:pPr>
              <w:spacing w:after="0" w:line="276" w:lineRule="auto"/>
              <w:ind w:left="0" w:firstLine="0"/>
              <w:jc w:val="both"/>
              <w:rPr>
                <w:bCs/>
                <w:color w:val="000000" w:themeColor="text1"/>
              </w:rPr>
            </w:pPr>
            <w:r>
              <w:t>WHO</w:t>
            </w:r>
          </w:p>
        </w:tc>
        <w:tc>
          <w:tcPr>
            <w:tcW w:w="7228" w:type="dxa"/>
          </w:tcPr>
          <w:p w14:paraId="4189E9A0" w14:textId="02EA6D30" w:rsidR="00976345" w:rsidRDefault="00976345" w:rsidP="00976345">
            <w:pPr>
              <w:spacing w:after="0" w:line="276" w:lineRule="auto"/>
              <w:ind w:left="0" w:firstLine="0"/>
              <w:jc w:val="both"/>
              <w:rPr>
                <w:bCs/>
                <w:color w:val="000000" w:themeColor="text1"/>
              </w:rPr>
            </w:pPr>
            <w:r>
              <w:t>World Health Organization</w:t>
            </w:r>
          </w:p>
        </w:tc>
      </w:tr>
    </w:tbl>
    <w:p w14:paraId="274C25C2" w14:textId="39BCC6B0" w:rsidR="001F62BF" w:rsidRPr="00721FFF" w:rsidRDefault="00403132" w:rsidP="00A02D4B">
      <w:pPr>
        <w:pStyle w:val="Heading1"/>
        <w:ind w:left="0" w:firstLine="0"/>
      </w:pPr>
      <w:bookmarkStart w:id="2" w:name="_Toc427672739"/>
      <w:r w:rsidRPr="00721FFF">
        <w:lastRenderedPageBreak/>
        <w:t>Executive</w:t>
      </w:r>
      <w:r w:rsidR="001F62BF" w:rsidRPr="00721FFF">
        <w:t xml:space="preserve"> </w:t>
      </w:r>
      <w:r w:rsidRPr="00721FFF">
        <w:t>Su</w:t>
      </w:r>
      <w:r w:rsidR="001F62BF" w:rsidRPr="00721FFF">
        <w:t>mmary</w:t>
      </w:r>
      <w:bookmarkEnd w:id="2"/>
    </w:p>
    <w:p w14:paraId="43348631" w14:textId="77777777" w:rsidR="005F433D" w:rsidRDefault="005F433D" w:rsidP="002B2C64"/>
    <w:p w14:paraId="21E78C11" w14:textId="77777777" w:rsidR="005F433D" w:rsidRDefault="005F433D" w:rsidP="005F433D">
      <w:pPr>
        <w:spacing w:line="360" w:lineRule="auto"/>
        <w:ind w:left="-6" w:hanging="11"/>
        <w:jc w:val="both"/>
        <w:rPr>
          <w:color w:val="auto"/>
        </w:rPr>
      </w:pPr>
      <w:r>
        <w:t xml:space="preserve">Aflatoxin is a major cause of pre- and post-harvest loss groundnuts, maize and rice which are widely consumed by the general Gambian population, therefore constitutes a significant food and feed safety risk. Aflatoxin contamination of crops can result in foregone revenues and profit from domestic, regional and international trade. Aflatoxin, a highly toxic metabolite produced by </w:t>
      </w:r>
      <w:r>
        <w:rPr>
          <w:i/>
        </w:rPr>
        <w:t>Aspergillus flavus</w:t>
      </w:r>
      <w:r>
        <w:t xml:space="preserve"> and </w:t>
      </w:r>
      <w:r>
        <w:rPr>
          <w:i/>
        </w:rPr>
        <w:t xml:space="preserve">parasiticus </w:t>
      </w:r>
      <w:r>
        <w:t xml:space="preserve">fungi, is known to cause immune-system suppression, growth retardation, liver disease, and death in both humans and domestic animals. </w:t>
      </w:r>
    </w:p>
    <w:p w14:paraId="4AF537E6" w14:textId="77777777" w:rsidR="005F433D" w:rsidRDefault="005F433D" w:rsidP="005F433D">
      <w:pPr>
        <w:spacing w:line="360" w:lineRule="auto"/>
        <w:ind w:left="-6" w:hanging="11"/>
        <w:jc w:val="both"/>
      </w:pPr>
      <w:r>
        <w:t xml:space="preserve">In a concerted effort to address the aflatoxin problem, </w:t>
      </w:r>
      <w:r>
        <w:rPr>
          <w:bCs/>
          <w:color w:val="000000" w:themeColor="text1"/>
        </w:rPr>
        <w:t>Africa-led Partnership for Aflatoxin Control (PACA), through Meridian Institute (USA), commissioned this situational analysis for the mitigation of aflatoxin within the food safety system of The Gambia. The objectives of the s</w:t>
      </w:r>
      <w:r>
        <w:t>ituational analysis were to: (a) review the country’s food safety systems and effects of aflatoxin along the main agricultural value chains; (b) develop and use an economic analysis framework to reveal the cost of aflatoxin to health, trade and agriculture; (c) formulate evidence based recommendations that will form part of the input into the country’s investment strategy, as well as specific investment options required for aflatoxin mitigation in the medium term; and  (d) inform the GNAIP review and AfricaAIMS data submission and implementation process.</w:t>
      </w:r>
    </w:p>
    <w:p w14:paraId="3C6E5696" w14:textId="77777777" w:rsidR="005F433D" w:rsidRDefault="005F433D" w:rsidP="005F433D">
      <w:pPr>
        <w:spacing w:line="360" w:lineRule="auto"/>
        <w:ind w:left="-6" w:hanging="11"/>
        <w:jc w:val="both"/>
        <w:rPr>
          <w:rFonts w:asciiTheme="minorHAnsi" w:hAnsiTheme="minorHAnsi" w:cstheme="minorBidi"/>
        </w:rPr>
      </w:pPr>
      <w:r>
        <w:t>The situational analysis revealed that there is limited knowledge and application of Good Agricultural Practices (GAP) by groundnut, maize and rice farmers aimed at mitigating aflatoxin contamination. Farmers’ access to production inputs such as certified seeds, fertilizer and agrochemicals are limited, posing major challenges to mitigating aflatoxin contamination, in addition to increasing production and productivity.  The analysis further revealed that awareness of the occurrence of aflatoxin and its consequences is generally low among the population, including the actors of the three value chains assessed under this study.</w:t>
      </w:r>
    </w:p>
    <w:p w14:paraId="6FFC7EC6" w14:textId="77777777" w:rsidR="005F433D" w:rsidRDefault="005F433D" w:rsidP="005F433D">
      <w:pPr>
        <w:spacing w:line="360" w:lineRule="auto"/>
        <w:jc w:val="both"/>
      </w:pPr>
      <w:r>
        <w:t>The economic impact assessment revealed average losses on international and human health amounting to USD 2,105,020 and USD 94,383,398, respectively.</w:t>
      </w:r>
    </w:p>
    <w:p w14:paraId="510CDD2B" w14:textId="77777777" w:rsidR="005F433D" w:rsidRDefault="005F433D" w:rsidP="002B2C64"/>
    <w:p w14:paraId="407DD21C" w14:textId="77777777" w:rsidR="00A02D4B" w:rsidRPr="005F433D" w:rsidRDefault="00A02D4B" w:rsidP="002B2C64"/>
    <w:p w14:paraId="5CBB3D86" w14:textId="77777777" w:rsidR="001F62BF" w:rsidRDefault="001F62BF" w:rsidP="002B2C64"/>
    <w:p w14:paraId="67FE34E8" w14:textId="77777777" w:rsidR="001F62BF" w:rsidRPr="001F62BF" w:rsidRDefault="001F62BF" w:rsidP="002B2C64"/>
    <w:p w14:paraId="4DB3AF5E" w14:textId="0FB99126" w:rsidR="00E61D71" w:rsidRDefault="006818E9" w:rsidP="006818E9">
      <w:pPr>
        <w:pStyle w:val="Heading1"/>
      </w:pPr>
      <w:bookmarkStart w:id="3" w:name="_Toc427672740"/>
      <w:r>
        <w:lastRenderedPageBreak/>
        <w:t xml:space="preserve">1.0 </w:t>
      </w:r>
      <w:r w:rsidR="00E61D71" w:rsidRPr="00DA5F13">
        <w:t>Introduction</w:t>
      </w:r>
      <w:bookmarkEnd w:id="3"/>
    </w:p>
    <w:p w14:paraId="7E9AB25D" w14:textId="77777777" w:rsidR="006818E9" w:rsidRPr="006818E9" w:rsidRDefault="006818E9" w:rsidP="006818E9"/>
    <w:p w14:paraId="314CCD2E" w14:textId="5D30DAFB" w:rsidR="00DB2912" w:rsidRDefault="00E61D71" w:rsidP="00DB2912">
      <w:pPr>
        <w:spacing w:after="0" w:line="360" w:lineRule="auto"/>
        <w:ind w:left="-15" w:firstLine="0"/>
        <w:jc w:val="both"/>
      </w:pPr>
      <w:r w:rsidRPr="009231BB">
        <w:t xml:space="preserve">The aflatoxin challenge is a significant threat to food and economic security, and undermines poverty eradication in Africa. It is a major cause of post-harvest loss that further constrains the amount of food reaching our markets and households across the African continent. According to </w:t>
      </w:r>
      <w:r w:rsidR="009F0B07">
        <w:t>the World Health Organization (</w:t>
      </w:r>
      <w:r w:rsidRPr="009231BB">
        <w:t>WHO</w:t>
      </w:r>
      <w:r w:rsidR="009F0B07">
        <w:t xml:space="preserve">, </w:t>
      </w:r>
      <w:r w:rsidRPr="009231BB">
        <w:t>2011), aflatoxin contamination leads to 64% reduction in food quality. In addition, aflatoxin poses a major public health challenge to consumers all over the continent and can result in foregone revenues and profit from domestic, regional and international trade.</w:t>
      </w:r>
    </w:p>
    <w:p w14:paraId="364DC6CF" w14:textId="77777777" w:rsidR="00DB2912" w:rsidRDefault="00DB2912" w:rsidP="00DB2912">
      <w:pPr>
        <w:spacing w:after="0" w:line="360" w:lineRule="auto"/>
        <w:ind w:left="-15" w:firstLine="0"/>
        <w:jc w:val="both"/>
      </w:pPr>
    </w:p>
    <w:p w14:paraId="2FB42A76" w14:textId="62D68134" w:rsidR="00E61D71" w:rsidRPr="009231BB" w:rsidRDefault="00E61D71" w:rsidP="004D7389">
      <w:pPr>
        <w:spacing w:after="0" w:line="360" w:lineRule="auto"/>
        <w:ind w:left="-17" w:firstLine="0"/>
        <w:jc w:val="both"/>
        <w:rPr>
          <w:bCs/>
          <w:color w:val="000000" w:themeColor="text1"/>
        </w:rPr>
      </w:pPr>
      <w:r w:rsidRPr="009231BB">
        <w:t xml:space="preserve">In a concerted effort to address the aflatoxin problem, the African Union Commission established a </w:t>
      </w:r>
      <w:r w:rsidR="00E52E3A">
        <w:t>c</w:t>
      </w:r>
      <w:r w:rsidRPr="009231BB">
        <w:rPr>
          <w:bCs/>
          <w:color w:val="000000" w:themeColor="text1"/>
        </w:rPr>
        <w:t>ontinenta</w:t>
      </w:r>
      <w:r w:rsidR="00E52E3A">
        <w:rPr>
          <w:bCs/>
          <w:color w:val="000000" w:themeColor="text1"/>
        </w:rPr>
        <w:t>l Sanitary/Phytosanitary (SPS) working g</w:t>
      </w:r>
      <w:r w:rsidRPr="009231BB">
        <w:rPr>
          <w:bCs/>
          <w:color w:val="000000" w:themeColor="text1"/>
        </w:rPr>
        <w:t xml:space="preserve">roup to mainstream SPS matters in the Comprehensive Africa Agriculture Development </w:t>
      </w:r>
      <w:r w:rsidR="00703529" w:rsidRPr="009231BB">
        <w:rPr>
          <w:bCs/>
          <w:color w:val="000000" w:themeColor="text1"/>
        </w:rPr>
        <w:t>Programme (</w:t>
      </w:r>
      <w:r w:rsidRPr="009231BB">
        <w:rPr>
          <w:bCs/>
          <w:color w:val="000000" w:themeColor="text1"/>
        </w:rPr>
        <w:t xml:space="preserve">CAADP) framework and establish an Africa-led Partnership for Aflatoxin Control (PACA). </w:t>
      </w:r>
      <w:r w:rsidRPr="009231BB">
        <w:t>CAADP provides an integrated framework of development priorities aimed at restoring agricultural growth, rural development and food security in the African region. In its very essence, it seeks to implement the key recommendations on food security, poverty reduction and sustainable use of natural resources, made at recent global conferences. The CAADP comprises four</w:t>
      </w:r>
      <w:r w:rsidRPr="009231BB">
        <w:rPr>
          <w:rFonts w:eastAsia="Arial"/>
          <w:b/>
        </w:rPr>
        <w:t xml:space="preserve"> </w:t>
      </w:r>
      <w:r w:rsidRPr="009231BB">
        <w:t>pillars</w:t>
      </w:r>
      <w:r w:rsidRPr="009231BB">
        <w:rPr>
          <w:rFonts w:eastAsia="Arial"/>
          <w:b/>
        </w:rPr>
        <w:t xml:space="preserve"> </w:t>
      </w:r>
      <w:r w:rsidRPr="009231BB">
        <w:t>and several</w:t>
      </w:r>
      <w:r w:rsidRPr="009231BB">
        <w:rPr>
          <w:rFonts w:eastAsia="Arial"/>
          <w:b/>
        </w:rPr>
        <w:t xml:space="preserve"> </w:t>
      </w:r>
      <w:r w:rsidRPr="009231BB">
        <w:t>cross</w:t>
      </w:r>
      <w:r w:rsidR="00587049">
        <w:t>-</w:t>
      </w:r>
      <w:r w:rsidRPr="009231BB">
        <w:t>cutting</w:t>
      </w:r>
      <w:r w:rsidRPr="009231BB">
        <w:rPr>
          <w:rFonts w:eastAsia="Arial"/>
          <w:b/>
        </w:rPr>
        <w:t xml:space="preserve"> </w:t>
      </w:r>
      <w:r w:rsidRPr="009231BB">
        <w:t>issues.</w:t>
      </w:r>
      <w:r w:rsidRPr="009231BB">
        <w:rPr>
          <w:bCs/>
          <w:color w:val="000000" w:themeColor="text1"/>
        </w:rPr>
        <w:t xml:space="preserve"> </w:t>
      </w:r>
    </w:p>
    <w:p w14:paraId="13444C61" w14:textId="77777777" w:rsidR="00DB2912" w:rsidRDefault="00DB2912" w:rsidP="00E52E3A">
      <w:pPr>
        <w:spacing w:after="0" w:line="276" w:lineRule="auto"/>
        <w:jc w:val="both"/>
      </w:pPr>
    </w:p>
    <w:p w14:paraId="2DCDC11E" w14:textId="30B28AD9" w:rsidR="00E61D71" w:rsidRDefault="00E61D71" w:rsidP="004D7389">
      <w:pPr>
        <w:spacing w:after="0" w:line="360" w:lineRule="auto"/>
        <w:ind w:left="-6" w:hanging="11"/>
        <w:jc w:val="both"/>
      </w:pPr>
      <w:r w:rsidRPr="009231BB">
        <w:t xml:space="preserve">In West Africa, The Economic Community of West African States (ECOWAS) is coordinating the implementation of the CAADP </w:t>
      </w:r>
      <w:r w:rsidR="00E52E3A">
        <w:t>for which it has developed the R</w:t>
      </w:r>
      <w:r w:rsidRPr="009231BB">
        <w:t xml:space="preserve">egional </w:t>
      </w:r>
      <w:r w:rsidR="00E52E3A">
        <w:t>A</w:t>
      </w:r>
      <w:r w:rsidRPr="009231BB">
        <w:t xml:space="preserve">gricultural </w:t>
      </w:r>
      <w:r w:rsidR="00E52E3A">
        <w:t>P</w:t>
      </w:r>
      <w:r w:rsidRPr="009231BB">
        <w:t>olicy (ECOWAP). In 2009</w:t>
      </w:r>
      <w:r w:rsidR="00587049">
        <w:t>,</w:t>
      </w:r>
      <w:r w:rsidRPr="009231BB">
        <w:t xml:space="preserve"> the Government of The Gambia (GoTG) developed</w:t>
      </w:r>
      <w:r w:rsidR="00E52E3A">
        <w:t xml:space="preserve"> a</w:t>
      </w:r>
      <w:r w:rsidRPr="009231BB">
        <w:t xml:space="preserve"> CAADP Compact and The Gambia National Agricultural Investment Plan (GNAIP). </w:t>
      </w:r>
      <w:r w:rsidR="00E52E3A">
        <w:t xml:space="preserve">The </w:t>
      </w:r>
      <w:r w:rsidRPr="009231BB">
        <w:t xml:space="preserve">GNAIP’s development objective is </w:t>
      </w:r>
      <w:r w:rsidR="00E52E3A">
        <w:t>to increase</w:t>
      </w:r>
      <w:r w:rsidRPr="009231BB">
        <w:t xml:space="preserve"> food and nutritional security and household incomes through increased agricultural and natural resources production and productivity.</w:t>
      </w:r>
    </w:p>
    <w:p w14:paraId="7F1775BE" w14:textId="77777777" w:rsidR="00E52E3A" w:rsidRPr="009231BB" w:rsidRDefault="00E52E3A" w:rsidP="004D7389">
      <w:pPr>
        <w:spacing w:after="0" w:line="360" w:lineRule="auto"/>
        <w:ind w:left="-6" w:hanging="11"/>
        <w:jc w:val="both"/>
      </w:pPr>
    </w:p>
    <w:p w14:paraId="41362F6C" w14:textId="3C5D49EE" w:rsidR="005268F6" w:rsidRDefault="005268F6" w:rsidP="004D7389">
      <w:pPr>
        <w:spacing w:after="0" w:line="360" w:lineRule="auto"/>
        <w:ind w:left="-6" w:hanging="11"/>
        <w:jc w:val="both"/>
      </w:pPr>
      <w:r w:rsidRPr="005268F6">
        <w:t>The goals of PACA are to reduce the incidence of aflatoxin in food, improve public health, increase trade, augment smallholder income, and enhance food security in Africa</w:t>
      </w:r>
      <w:r w:rsidR="00587049">
        <w:t xml:space="preserve"> thereby creating an Africa free from the harmful effects of aflatoxins</w:t>
      </w:r>
      <w:r w:rsidRPr="005268F6">
        <w:t>. The aim is for this process to become a part</w:t>
      </w:r>
      <w:r w:rsidR="006277E6">
        <w:t xml:space="preserve"> of the </w:t>
      </w:r>
      <w:r w:rsidRPr="005268F6">
        <w:t xml:space="preserve">CADDP framework. </w:t>
      </w:r>
      <w:r w:rsidR="00E61D71" w:rsidRPr="009231BB">
        <w:rPr>
          <w:bCs/>
          <w:color w:val="000000" w:themeColor="text1"/>
        </w:rPr>
        <w:t>The Gambia</w:t>
      </w:r>
      <w:r w:rsidR="009C463C">
        <w:rPr>
          <w:bCs/>
          <w:color w:val="000000" w:themeColor="text1"/>
        </w:rPr>
        <w:t xml:space="preserve">, one of the </w:t>
      </w:r>
      <w:r w:rsidR="008E2041">
        <w:rPr>
          <w:bCs/>
          <w:color w:val="000000" w:themeColor="text1"/>
        </w:rPr>
        <w:t xml:space="preserve">six </w:t>
      </w:r>
      <w:r w:rsidR="00C8652C">
        <w:rPr>
          <w:bCs/>
          <w:color w:val="000000" w:themeColor="text1"/>
        </w:rPr>
        <w:t xml:space="preserve">PACA </w:t>
      </w:r>
      <w:r w:rsidR="00E61D71" w:rsidRPr="009231BB">
        <w:rPr>
          <w:bCs/>
          <w:color w:val="000000" w:themeColor="text1"/>
        </w:rPr>
        <w:t>pilot countries</w:t>
      </w:r>
      <w:r w:rsidR="00C65E05">
        <w:rPr>
          <w:bCs/>
          <w:color w:val="000000" w:themeColor="text1"/>
        </w:rPr>
        <w:t>,</w:t>
      </w:r>
      <w:r w:rsidR="00E61D71" w:rsidRPr="009231BB">
        <w:rPr>
          <w:bCs/>
          <w:color w:val="000000" w:themeColor="text1"/>
        </w:rPr>
        <w:t xml:space="preserve"> </w:t>
      </w:r>
      <w:r w:rsidR="009C463C">
        <w:rPr>
          <w:bCs/>
          <w:color w:val="000000" w:themeColor="text1"/>
        </w:rPr>
        <w:t xml:space="preserve">undertook </w:t>
      </w:r>
      <w:r w:rsidR="00E61D71" w:rsidRPr="009231BB">
        <w:rPr>
          <w:bCs/>
          <w:color w:val="000000" w:themeColor="text1"/>
        </w:rPr>
        <w:t>a s</w:t>
      </w:r>
      <w:r w:rsidR="00E61D71" w:rsidRPr="009231BB">
        <w:t xml:space="preserve">ituational analysis </w:t>
      </w:r>
      <w:r w:rsidR="009C463C">
        <w:t xml:space="preserve">in The Gambia </w:t>
      </w:r>
      <w:r w:rsidR="00E61D71" w:rsidRPr="009231BB">
        <w:t>for the mitigation of aflatoxin within the national food safety system during the period January to June, 2015.</w:t>
      </w:r>
    </w:p>
    <w:p w14:paraId="190E0D56" w14:textId="77777777" w:rsidR="004D7389" w:rsidRPr="009231BB" w:rsidRDefault="004D7389" w:rsidP="004D7389">
      <w:pPr>
        <w:spacing w:after="0" w:line="276" w:lineRule="auto"/>
        <w:jc w:val="both"/>
        <w:rPr>
          <w:b/>
        </w:rPr>
      </w:pPr>
    </w:p>
    <w:p w14:paraId="5F9FA021" w14:textId="513C9798" w:rsidR="00E61D71" w:rsidRPr="009231BB" w:rsidRDefault="00E61D71" w:rsidP="00E61D71">
      <w:pPr>
        <w:spacing w:after="506" w:line="360" w:lineRule="auto"/>
        <w:ind w:left="-15" w:firstLine="0"/>
        <w:jc w:val="both"/>
        <w:rPr>
          <w:color w:val="000000" w:themeColor="text1"/>
        </w:rPr>
      </w:pPr>
      <w:r w:rsidRPr="009231BB">
        <w:t>The analysis will catalyse strategic action</w:t>
      </w:r>
      <w:r w:rsidR="00547AEB">
        <w:t>s</w:t>
      </w:r>
      <w:r w:rsidR="00C411CE">
        <w:t xml:space="preserve"> across the agriculture, health and trade sectors</w:t>
      </w:r>
      <w:r w:rsidRPr="009231BB">
        <w:t xml:space="preserve"> in The Gambia by identifying existing programs that can integrate aflatoxin control measures, avoid duplication of effort and providing the necessary input to align aflatoxin control with broader food safety and SPS issues </w:t>
      </w:r>
      <w:r w:rsidRPr="009231BB">
        <w:lastRenderedPageBreak/>
        <w:t xml:space="preserve">within </w:t>
      </w:r>
      <w:r w:rsidR="00777BB2">
        <w:t xml:space="preserve">The </w:t>
      </w:r>
      <w:r w:rsidRPr="009231BB">
        <w:t>Gambia. The analysis will also inform the review of the GNAIP as well as the development of the Africa</w:t>
      </w:r>
      <w:r w:rsidR="00A83A71">
        <w:t>-</w:t>
      </w:r>
      <w:r w:rsidRPr="009231BB">
        <w:t xml:space="preserve">led Aflatoxin Information Management System (AfricaAIMS). In addition, the situational analysis will assess the economic impacts of aflatoxin in health, trade and agriculture. </w:t>
      </w:r>
    </w:p>
    <w:p w14:paraId="0F18DBEA" w14:textId="45605DB3" w:rsidR="006818E9" w:rsidRDefault="00DA5F13" w:rsidP="00D85F51">
      <w:pPr>
        <w:pStyle w:val="Heading2"/>
        <w:numPr>
          <w:ilvl w:val="1"/>
          <w:numId w:val="33"/>
        </w:numPr>
        <w:spacing w:line="276" w:lineRule="auto"/>
      </w:pPr>
      <w:bookmarkStart w:id="4" w:name="_Toc427672741"/>
      <w:r>
        <w:t>The a</w:t>
      </w:r>
      <w:r w:rsidR="00E61D71" w:rsidRPr="00DA5F13">
        <w:t xml:space="preserve">flatoxin </w:t>
      </w:r>
      <w:r>
        <w:t>p</w:t>
      </w:r>
      <w:r w:rsidR="00E61D71" w:rsidRPr="00DA5F13">
        <w:t>roblem</w:t>
      </w:r>
      <w:bookmarkEnd w:id="4"/>
    </w:p>
    <w:p w14:paraId="1CF76A68" w14:textId="77777777" w:rsidR="00E52E3A" w:rsidRPr="00E52E3A" w:rsidRDefault="00E52E3A" w:rsidP="00E52E3A">
      <w:pPr>
        <w:spacing w:after="0"/>
      </w:pPr>
    </w:p>
    <w:p w14:paraId="64DD774B" w14:textId="21B41313" w:rsidR="00E61D71" w:rsidRPr="009231BB" w:rsidRDefault="00E61D71" w:rsidP="00E61D71">
      <w:pPr>
        <w:spacing w:line="360" w:lineRule="auto"/>
        <w:ind w:left="-15" w:firstLine="0"/>
        <w:jc w:val="both"/>
        <w:rPr>
          <w:i/>
        </w:rPr>
      </w:pPr>
      <w:r w:rsidRPr="009231BB">
        <w:rPr>
          <w:i/>
        </w:rPr>
        <w:t xml:space="preserve">Aspergillus flavus </w:t>
      </w:r>
      <w:r w:rsidRPr="009231BB">
        <w:t xml:space="preserve">and </w:t>
      </w:r>
      <w:r w:rsidR="008D2AED" w:rsidRPr="009231BB">
        <w:rPr>
          <w:i/>
        </w:rPr>
        <w:t>A</w:t>
      </w:r>
      <w:r w:rsidR="008D2AED">
        <w:rPr>
          <w:i/>
        </w:rPr>
        <w:t>.</w:t>
      </w:r>
      <w:r w:rsidR="008D2AED" w:rsidRPr="009231BB">
        <w:rPr>
          <w:i/>
        </w:rPr>
        <w:t xml:space="preserve"> </w:t>
      </w:r>
      <w:r w:rsidRPr="009231BB">
        <w:rPr>
          <w:i/>
        </w:rPr>
        <w:t>parasiticus</w:t>
      </w:r>
      <w:r w:rsidRPr="009231BB">
        <w:t>, whose natural habitat is the soil, are among the most widespread fungi that produce aflatoxins. These fungi produce several types of aflatoxins</w:t>
      </w:r>
      <w:r w:rsidR="00925DA8">
        <w:t>;</w:t>
      </w:r>
      <w:r w:rsidRPr="009231BB">
        <w:t xml:space="preserve"> </w:t>
      </w:r>
      <w:r w:rsidRPr="009231BB">
        <w:rPr>
          <w:i/>
        </w:rPr>
        <w:t xml:space="preserve">A. flavus </w:t>
      </w:r>
      <w:r w:rsidRPr="009231BB">
        <w:t>isolates producing aflatoxins B</w:t>
      </w:r>
      <w:r w:rsidRPr="0094607A">
        <w:rPr>
          <w:vertAlign w:val="subscript"/>
        </w:rPr>
        <w:t>1</w:t>
      </w:r>
      <w:r w:rsidRPr="009231BB">
        <w:t xml:space="preserve"> </w:t>
      </w:r>
      <w:r w:rsidR="00925DA8">
        <w:t>(AFB</w:t>
      </w:r>
      <w:r w:rsidR="00925DA8" w:rsidRPr="0094607A">
        <w:rPr>
          <w:vertAlign w:val="subscript"/>
        </w:rPr>
        <w:t>1</w:t>
      </w:r>
      <w:r w:rsidR="00925DA8">
        <w:t xml:space="preserve">) </w:t>
      </w:r>
      <w:r w:rsidRPr="009231BB">
        <w:t>and B</w:t>
      </w:r>
      <w:r w:rsidRPr="0094607A">
        <w:rPr>
          <w:vertAlign w:val="subscript"/>
        </w:rPr>
        <w:t>2</w:t>
      </w:r>
      <w:r w:rsidR="00925DA8">
        <w:t xml:space="preserve"> while</w:t>
      </w:r>
      <w:r w:rsidRPr="009231BB">
        <w:t xml:space="preserve"> </w:t>
      </w:r>
      <w:r w:rsidRPr="009231BB">
        <w:rPr>
          <w:i/>
        </w:rPr>
        <w:t xml:space="preserve">A. parasiticus </w:t>
      </w:r>
      <w:r w:rsidRPr="009231BB">
        <w:t xml:space="preserve">isolates produce </w:t>
      </w:r>
      <w:r w:rsidR="00925DA8">
        <w:t>AF</w:t>
      </w:r>
      <w:r w:rsidRPr="009231BB">
        <w:t>B</w:t>
      </w:r>
      <w:r w:rsidRPr="002B2C64">
        <w:rPr>
          <w:vertAlign w:val="subscript"/>
        </w:rPr>
        <w:t>1</w:t>
      </w:r>
      <w:r w:rsidRPr="009231BB">
        <w:t xml:space="preserve">, </w:t>
      </w:r>
      <w:r w:rsidR="00925DA8">
        <w:t>AF</w:t>
      </w:r>
      <w:r w:rsidRPr="009231BB">
        <w:t>B</w:t>
      </w:r>
      <w:r w:rsidRPr="002B2C64">
        <w:rPr>
          <w:vertAlign w:val="subscript"/>
        </w:rPr>
        <w:t>2</w:t>
      </w:r>
      <w:r w:rsidRPr="009231BB">
        <w:t xml:space="preserve">, </w:t>
      </w:r>
      <w:r w:rsidR="00925DA8">
        <w:t>AF</w:t>
      </w:r>
      <w:r w:rsidRPr="009231BB">
        <w:t>G</w:t>
      </w:r>
      <w:r w:rsidRPr="002B2C64">
        <w:rPr>
          <w:vertAlign w:val="subscript"/>
        </w:rPr>
        <w:t>1</w:t>
      </w:r>
      <w:r w:rsidRPr="009231BB">
        <w:t xml:space="preserve"> and </w:t>
      </w:r>
      <w:r w:rsidR="00925DA8">
        <w:t>AF</w:t>
      </w:r>
      <w:r w:rsidRPr="009231BB">
        <w:t>G</w:t>
      </w:r>
      <w:r w:rsidRPr="002B2C64">
        <w:rPr>
          <w:vertAlign w:val="subscript"/>
        </w:rPr>
        <w:t>2</w:t>
      </w:r>
      <w:r w:rsidRPr="009231BB">
        <w:t>. These fungi can colonize a wide variety of food commodities including maize (corn), sorghum, rice, millet, oilseeds (including groundnuts), spices, tree nuts, and dried fruit</w:t>
      </w:r>
      <w:r w:rsidR="00193D44">
        <w:t>s</w:t>
      </w:r>
      <w:r w:rsidRPr="009231BB">
        <w:t xml:space="preserve"> (Strosnider et al., 2006). </w:t>
      </w:r>
      <w:r w:rsidRPr="009231BB">
        <w:rPr>
          <w:b/>
        </w:rPr>
        <w:t xml:space="preserve"> </w:t>
      </w:r>
    </w:p>
    <w:p w14:paraId="1F366EA3" w14:textId="1C909071" w:rsidR="00E61D71" w:rsidRPr="009231BB" w:rsidRDefault="00E52E3A" w:rsidP="00E61D71">
      <w:pPr>
        <w:spacing w:line="360" w:lineRule="auto"/>
        <w:ind w:left="-15" w:firstLine="0"/>
        <w:jc w:val="both"/>
      </w:pPr>
      <w:r w:rsidRPr="009231BB">
        <w:rPr>
          <w:i/>
        </w:rPr>
        <w:t>Aspergillus</w:t>
      </w:r>
      <w:r w:rsidRPr="009231BB">
        <w:t xml:space="preserve"> </w:t>
      </w:r>
      <w:r>
        <w:t>c</w:t>
      </w:r>
      <w:r w:rsidR="00E61D71" w:rsidRPr="009231BB">
        <w:t>ontamination during crop production and other stages along the value chain depen</w:t>
      </w:r>
      <w:r>
        <w:t xml:space="preserve">ds on </w:t>
      </w:r>
      <w:r w:rsidR="00C83E8B">
        <w:t xml:space="preserve">favourable </w:t>
      </w:r>
      <w:r>
        <w:t xml:space="preserve">environmental conditions for </w:t>
      </w:r>
      <w:r w:rsidR="00C83E8B">
        <w:t xml:space="preserve">the fungi </w:t>
      </w:r>
      <w:r w:rsidR="00E61D71" w:rsidRPr="009231BB">
        <w:t xml:space="preserve">to thrive. During crop development, damage by pests (birds, mammals, and insects) or the stress of hot, dry conditions can result in significant </w:t>
      </w:r>
      <w:r w:rsidR="0041136E">
        <w:t xml:space="preserve">fungal </w:t>
      </w:r>
      <w:r w:rsidR="00E61D71" w:rsidRPr="009231BB">
        <w:t xml:space="preserve">infections. In The Gambia, </w:t>
      </w:r>
      <w:r w:rsidR="00E83ABE">
        <w:t xml:space="preserve">high </w:t>
      </w:r>
      <w:r w:rsidR="00E61D71" w:rsidRPr="009231BB">
        <w:t>moisture</w:t>
      </w:r>
      <w:r w:rsidR="00E83ABE">
        <w:t xml:space="preserve"> contents</w:t>
      </w:r>
      <w:r w:rsidR="00E61D71" w:rsidRPr="009231BB">
        <w:t xml:space="preserve"> at the time of harvest and storage is also shown to increase aflatoxin levels.</w:t>
      </w:r>
    </w:p>
    <w:p w14:paraId="063F1665" w14:textId="623649DA" w:rsidR="00E61D71" w:rsidRPr="009231BB" w:rsidRDefault="00E61D71" w:rsidP="00E61D71">
      <w:pPr>
        <w:spacing w:line="360" w:lineRule="auto"/>
        <w:ind w:left="-15" w:firstLine="0"/>
        <w:jc w:val="both"/>
      </w:pPr>
      <w:r w:rsidRPr="00101D0F">
        <w:rPr>
          <w:color w:val="auto"/>
        </w:rPr>
        <w:t xml:space="preserve">Specifically, </w:t>
      </w:r>
      <w:r w:rsidR="00303C45">
        <w:rPr>
          <w:color w:val="auto"/>
        </w:rPr>
        <w:t xml:space="preserve">aflatoxin-producing </w:t>
      </w:r>
      <w:r w:rsidRPr="009231BB">
        <w:rPr>
          <w:i/>
        </w:rPr>
        <w:t>Aspergillus</w:t>
      </w:r>
      <w:r w:rsidRPr="00101D0F">
        <w:rPr>
          <w:color w:val="auto"/>
        </w:rPr>
        <w:t xml:space="preserve"> grows best </w:t>
      </w:r>
      <w:r w:rsidR="001B191B">
        <w:rPr>
          <w:color w:val="auto"/>
        </w:rPr>
        <w:t>at</w:t>
      </w:r>
      <w:r w:rsidRPr="00101D0F">
        <w:rPr>
          <w:color w:val="auto"/>
        </w:rPr>
        <w:t xml:space="preserve"> temperature</w:t>
      </w:r>
      <w:r w:rsidR="001B191B">
        <w:rPr>
          <w:color w:val="auto"/>
        </w:rPr>
        <w:t>s</w:t>
      </w:r>
      <w:r w:rsidRPr="00101D0F">
        <w:rPr>
          <w:color w:val="auto"/>
        </w:rPr>
        <w:t xml:space="preserve"> between </w:t>
      </w:r>
      <w:r w:rsidR="001B191B">
        <w:rPr>
          <w:color w:val="auto"/>
        </w:rPr>
        <w:t>25</w:t>
      </w:r>
      <w:r w:rsidRPr="00101D0F">
        <w:rPr>
          <w:color w:val="auto"/>
        </w:rPr>
        <w:t>°C and 33°C</w:t>
      </w:r>
      <w:r w:rsidR="001B191B">
        <w:rPr>
          <w:color w:val="auto"/>
        </w:rPr>
        <w:t>,</w:t>
      </w:r>
      <w:r w:rsidRPr="00101D0F">
        <w:rPr>
          <w:color w:val="auto"/>
        </w:rPr>
        <w:t xml:space="preserve"> and relative humidity greater than 50</w:t>
      </w:r>
      <w:r>
        <w:rPr>
          <w:color w:val="auto"/>
        </w:rPr>
        <w:t xml:space="preserve">%. </w:t>
      </w:r>
      <w:r w:rsidRPr="009231BB">
        <w:t xml:space="preserve">Drought stress has been found to increase the number of </w:t>
      </w:r>
      <w:r w:rsidRPr="009231BB">
        <w:rPr>
          <w:i/>
        </w:rPr>
        <w:t>Aspergillus</w:t>
      </w:r>
      <w:r w:rsidRPr="009231BB">
        <w:t xml:space="preserve"> spores in the air, increasing the chance of infection in crops (Sanders et al., 1993). Drought, high temperatures, low soil fertility, pest infestation and other stresses that affect plant growth during pollination also increase the level of aflatoxins produced by the </w:t>
      </w:r>
      <w:r w:rsidRPr="009231BB">
        <w:rPr>
          <w:i/>
        </w:rPr>
        <w:t>Aspergillus</w:t>
      </w:r>
      <w:r w:rsidRPr="009231BB">
        <w:t xml:space="preserve"> fungi, exacerbating the problem. Thus, aflatoxins disproportionately affect food and feed in tropical and subtropical region</w:t>
      </w:r>
      <w:r w:rsidR="00A27D4B">
        <w:t>s of the world, which includes T</w:t>
      </w:r>
      <w:r w:rsidRPr="009231BB">
        <w:t xml:space="preserve">he Gambia. </w:t>
      </w:r>
    </w:p>
    <w:p w14:paraId="3D4AD67E" w14:textId="77777777" w:rsidR="00E61D71" w:rsidRPr="009231BB" w:rsidRDefault="00E61D71" w:rsidP="00E61D71">
      <w:pPr>
        <w:spacing w:line="360" w:lineRule="auto"/>
        <w:jc w:val="both"/>
      </w:pPr>
      <w:r w:rsidRPr="009231BB">
        <w:t>Aflatoxins are known to cause serious health effects in humans and livestock, leading to significant adverse impacts in the form of increased epidemiological disease burden and adverse impacts on the country’s agriculture, food security, and trade, resulting in negative consequences on the economy.</w:t>
      </w:r>
    </w:p>
    <w:p w14:paraId="7B136348" w14:textId="303932C1" w:rsidR="00E61D71" w:rsidRPr="00573E53" w:rsidRDefault="00E61D71" w:rsidP="00E61D71">
      <w:pPr>
        <w:spacing w:line="360" w:lineRule="auto"/>
        <w:jc w:val="both"/>
        <w:rPr>
          <w:b/>
          <w:i/>
        </w:rPr>
      </w:pPr>
      <w:r w:rsidRPr="00573E53">
        <w:rPr>
          <w:b/>
          <w:i/>
        </w:rPr>
        <w:t xml:space="preserve">Aflatoxins are a global food safety and public health threat </w:t>
      </w:r>
    </w:p>
    <w:p w14:paraId="636B8F03" w14:textId="3B5D971F" w:rsidR="00A27D4B" w:rsidRDefault="00E61D71" w:rsidP="00E61D71">
      <w:pPr>
        <w:spacing w:line="360" w:lineRule="auto"/>
        <w:ind w:left="-6" w:hanging="11"/>
        <w:jc w:val="both"/>
      </w:pPr>
      <w:r w:rsidRPr="009231BB">
        <w:t xml:space="preserve">Aflatoxins constitute a significant food </w:t>
      </w:r>
      <w:r w:rsidR="00A27D4B">
        <w:t xml:space="preserve">and feed </w:t>
      </w:r>
      <w:r w:rsidRPr="009231BB">
        <w:t>safety risk. Exposure to aflatoxin is widespread, primarily through the ingestion of contaminated food</w:t>
      </w:r>
      <w:r w:rsidR="00A27D4B">
        <w:t xml:space="preserve"> and feed</w:t>
      </w:r>
      <w:r w:rsidRPr="009231BB">
        <w:t xml:space="preserve">. </w:t>
      </w:r>
      <w:r>
        <w:t xml:space="preserve">The Food and Agriculture Organization </w:t>
      </w:r>
      <w:r w:rsidR="006277E6">
        <w:t xml:space="preserve">(FAO) </w:t>
      </w:r>
      <w:r>
        <w:t xml:space="preserve">estimates that </w:t>
      </w:r>
      <w:r w:rsidR="00C305D3">
        <w:t>aflatoxins</w:t>
      </w:r>
      <w:r>
        <w:t xml:space="preserve"> affect 25% of the world’s crops </w:t>
      </w:r>
      <w:r w:rsidR="00C305D3">
        <w:t xml:space="preserve">while </w:t>
      </w:r>
      <w:r>
        <w:t>the Centre</w:t>
      </w:r>
      <w:r w:rsidR="00CC6859">
        <w:t>s</w:t>
      </w:r>
      <w:r>
        <w:t xml:space="preserve"> for Disease Control estimates that 4.5 billion people are chronically exposed to aflatoxin through contaminated food. </w:t>
      </w:r>
      <w:r w:rsidRPr="009231BB">
        <w:t xml:space="preserve">The </w:t>
      </w:r>
      <w:r w:rsidRPr="009231BB">
        <w:lastRenderedPageBreak/>
        <w:t>health hazards associated with aflatoxin exposure include aflatoxicosis, liver cancer</w:t>
      </w:r>
      <w:r w:rsidR="009F5E28">
        <w:t>,</w:t>
      </w:r>
      <w:r w:rsidRPr="009231BB">
        <w:t xml:space="preserve"> nutritional interference</w:t>
      </w:r>
      <w:r w:rsidR="009F5E28">
        <w:t xml:space="preserve"> and </w:t>
      </w:r>
      <w:r w:rsidRPr="009231BB">
        <w:t xml:space="preserve">suppression of the immune system, which </w:t>
      </w:r>
      <w:r w:rsidR="007229D9">
        <w:t>predisposes the body to</w:t>
      </w:r>
      <w:r w:rsidRPr="009231BB">
        <w:t xml:space="preserve"> human immunodeficiency virus (HIV)</w:t>
      </w:r>
      <w:r w:rsidR="007229D9">
        <w:t xml:space="preserve"> infection</w:t>
      </w:r>
      <w:r w:rsidRPr="009231BB">
        <w:t xml:space="preserve">, and possibly other communicable diseases. </w:t>
      </w:r>
      <w:r>
        <w:t xml:space="preserve"> </w:t>
      </w:r>
    </w:p>
    <w:p w14:paraId="3671DDAB" w14:textId="7A2539D0" w:rsidR="00DB6194" w:rsidRDefault="003F2AAD" w:rsidP="00E61D71">
      <w:pPr>
        <w:spacing w:line="360" w:lineRule="auto"/>
        <w:ind w:left="-6" w:hanging="11"/>
        <w:jc w:val="both"/>
      </w:pPr>
      <w:r>
        <w:t>In T</w:t>
      </w:r>
      <w:r w:rsidR="00E61D71">
        <w:t>he Gambia, extensive research efforts have documented high liver cancer incidence resulting from childhood hepatitis B infections, lifetime dietary aflatoxin exposure, and chro</w:t>
      </w:r>
      <w:r w:rsidR="00777BB2">
        <w:t xml:space="preserve">nic hepatitis </w:t>
      </w:r>
      <w:r w:rsidR="00D36765">
        <w:t>C</w:t>
      </w:r>
      <w:r w:rsidR="00777BB2">
        <w:t xml:space="preserve"> infections</w:t>
      </w:r>
      <w:r w:rsidR="00F6232F">
        <w:t xml:space="preserve"> (</w:t>
      </w:r>
      <w:r w:rsidR="00237453">
        <w:t xml:space="preserve">Turner, et al, 2000; </w:t>
      </w:r>
      <w:r w:rsidR="00CB04C0">
        <w:t>Wild, et al., 1993</w:t>
      </w:r>
      <w:r w:rsidR="00F6232F">
        <w:t>)</w:t>
      </w:r>
      <w:r w:rsidR="00777BB2">
        <w:t xml:space="preserve">. </w:t>
      </w:r>
      <w:r w:rsidR="003C72D0">
        <w:t>About</w:t>
      </w:r>
      <w:r w:rsidR="00E61D71">
        <w:t xml:space="preserve"> 57% of </w:t>
      </w:r>
      <w:r w:rsidR="003C72D0">
        <w:t xml:space="preserve">the </w:t>
      </w:r>
      <w:r w:rsidR="00E61D71">
        <w:t xml:space="preserve">liver cancer cases are attributable to chronic hepatitis B infection. </w:t>
      </w:r>
      <w:r w:rsidR="00C17732">
        <w:t>Hepatitis B</w:t>
      </w:r>
      <w:r w:rsidR="00C17732" w:rsidRPr="00C17732">
        <w:t xml:space="preserve"> prevalence rate in </w:t>
      </w:r>
      <w:r w:rsidR="00456536">
        <w:t xml:space="preserve">The </w:t>
      </w:r>
      <w:r w:rsidR="00C17732" w:rsidRPr="00C17732">
        <w:t xml:space="preserve">Gambia </w:t>
      </w:r>
      <w:r w:rsidR="00456536">
        <w:t>is</w:t>
      </w:r>
      <w:r w:rsidR="00C17732" w:rsidRPr="00C17732">
        <w:t xml:space="preserve"> about 15%, with age-specific prevalence as high as 20% in 10- to 20-year olds</w:t>
      </w:r>
      <w:r w:rsidR="00C17732">
        <w:t xml:space="preserve"> (Hwang and</w:t>
      </w:r>
      <w:r w:rsidR="00C17732" w:rsidRPr="00C17732">
        <w:t xml:space="preserve"> Cheung</w:t>
      </w:r>
      <w:r w:rsidR="00C17732">
        <w:t>, 2011).</w:t>
      </w:r>
      <w:r w:rsidR="00C17732" w:rsidRPr="00C17732">
        <w:t xml:space="preserve"> </w:t>
      </w:r>
      <w:r w:rsidR="00E61D71">
        <w:t>The Gambia Hepatitis Intervention Study clearly showed that immunization is highly effective in preventing chronic hepatitis B infection and the likely onset of hepatocellular carcinoma</w:t>
      </w:r>
      <w:r w:rsidR="00AD6D57">
        <w:t>, and that hepatitis B vaccination can be implemented in the national immunization programs of developing countries</w:t>
      </w:r>
      <w:r w:rsidR="00DF5C96">
        <w:t xml:space="preserve"> (</w:t>
      </w:r>
      <w:r w:rsidR="00CB04C0">
        <w:t>WHO, 2015</w:t>
      </w:r>
      <w:r w:rsidR="00DF5C96">
        <w:t>)</w:t>
      </w:r>
      <w:r w:rsidR="00E61D71">
        <w:t xml:space="preserve">. </w:t>
      </w:r>
    </w:p>
    <w:p w14:paraId="6D392B35" w14:textId="64D0480E" w:rsidR="00A80F7A" w:rsidRDefault="00E61D71" w:rsidP="00A80F7A">
      <w:pPr>
        <w:spacing w:line="360" w:lineRule="auto"/>
        <w:ind w:left="-6" w:hanging="11"/>
        <w:jc w:val="both"/>
      </w:pPr>
      <w:r w:rsidRPr="009231BB">
        <w:t xml:space="preserve">Some experts </w:t>
      </w:r>
      <w:r w:rsidR="00917819">
        <w:t>have associated</w:t>
      </w:r>
      <w:r w:rsidRPr="009231BB">
        <w:t xml:space="preserve"> chronic aflatoxin exposure </w:t>
      </w:r>
      <w:r w:rsidR="00917819">
        <w:t>to</w:t>
      </w:r>
      <w:r w:rsidR="00917819" w:rsidRPr="009231BB">
        <w:t xml:space="preserve"> </w:t>
      </w:r>
      <w:r w:rsidRPr="009231BB">
        <w:t>child</w:t>
      </w:r>
      <w:r w:rsidR="00D34AB8">
        <w:t>hood</w:t>
      </w:r>
      <w:r w:rsidRPr="009231BB">
        <w:t xml:space="preserve"> stunting </w:t>
      </w:r>
      <w:r w:rsidR="00B526BB">
        <w:t xml:space="preserve">as well as interference with </w:t>
      </w:r>
      <w:r w:rsidRPr="009231BB">
        <w:t>gut health</w:t>
      </w:r>
      <w:r w:rsidR="00B526BB">
        <w:t xml:space="preserve"> and nutrient metabolism</w:t>
      </w:r>
      <w:r w:rsidR="00705DEE">
        <w:t xml:space="preserve"> (</w:t>
      </w:r>
      <w:r w:rsidR="00410898">
        <w:t xml:space="preserve">Turner et al, 2007; </w:t>
      </w:r>
      <w:r w:rsidR="00DD3DDC">
        <w:t xml:space="preserve">Smith et al, </w:t>
      </w:r>
      <w:r w:rsidR="00436DBB">
        <w:t>2012</w:t>
      </w:r>
      <w:r w:rsidR="00705DEE">
        <w:t>)</w:t>
      </w:r>
      <w:r w:rsidRPr="009231BB">
        <w:t xml:space="preserve">. </w:t>
      </w:r>
      <w:r w:rsidRPr="00777BB2">
        <w:rPr>
          <w:color w:val="auto"/>
        </w:rPr>
        <w:t>Stunting</w:t>
      </w:r>
      <w:r w:rsidRPr="004F2363">
        <w:rPr>
          <w:color w:val="FF0000"/>
        </w:rPr>
        <w:t xml:space="preserve"> </w:t>
      </w:r>
      <w:r w:rsidRPr="009231BB">
        <w:t xml:space="preserve">is widely recognized as a major human and development problem throughout Africa, because it lowers lifetime productivity and </w:t>
      </w:r>
      <w:r w:rsidR="00993082">
        <w:t>GDP</w:t>
      </w:r>
      <w:r w:rsidRPr="009231BB">
        <w:t xml:space="preserve">. </w:t>
      </w:r>
      <w:r w:rsidR="00E91646">
        <w:t>A</w:t>
      </w:r>
      <w:r w:rsidR="00E91646" w:rsidRPr="00E91646">
        <w:t>lmost one</w:t>
      </w:r>
      <w:r w:rsidR="006A06CD">
        <w:t xml:space="preserve"> </w:t>
      </w:r>
      <w:r w:rsidR="003018D7" w:rsidRPr="00E91646">
        <w:t>(</w:t>
      </w:r>
      <w:r w:rsidR="003018D7">
        <w:t>20%</w:t>
      </w:r>
      <w:r w:rsidR="003018D7" w:rsidRPr="00E91646">
        <w:t xml:space="preserve">) </w:t>
      </w:r>
      <w:r w:rsidR="00E91646" w:rsidRPr="00E91646">
        <w:t>in five children under age five in The Gambia are moderately underweight</w:t>
      </w:r>
      <w:r w:rsidR="00E91646">
        <w:t>,</w:t>
      </w:r>
      <w:r w:rsidR="00E91646" w:rsidRPr="00E91646">
        <w:t xml:space="preserve"> 4.2</w:t>
      </w:r>
      <w:r w:rsidR="00E91646">
        <w:t>%</w:t>
      </w:r>
      <w:r w:rsidR="00E91646" w:rsidRPr="00E91646">
        <w:t xml:space="preserve"> are classified as severely underweight</w:t>
      </w:r>
      <w:r w:rsidR="00E91646">
        <w:t xml:space="preserve">, and </w:t>
      </w:r>
      <w:r w:rsidR="00E91646" w:rsidRPr="00E91646">
        <w:t xml:space="preserve">(23.4%) </w:t>
      </w:r>
      <w:r w:rsidR="00E91646">
        <w:t xml:space="preserve">of children </w:t>
      </w:r>
      <w:r w:rsidR="00E91646" w:rsidRPr="00E91646">
        <w:t xml:space="preserve">are moderately stunted or too short for their age </w:t>
      </w:r>
      <w:r w:rsidR="00ED2D39">
        <w:t>while</w:t>
      </w:r>
      <w:r w:rsidR="00ED2D39" w:rsidRPr="00E91646">
        <w:t xml:space="preserve"> </w:t>
      </w:r>
      <w:r w:rsidR="00E91646" w:rsidRPr="00E91646">
        <w:t>9.5</w:t>
      </w:r>
      <w:r w:rsidR="00E91646">
        <w:t>%</w:t>
      </w:r>
      <w:r w:rsidR="00E91646" w:rsidRPr="00E91646">
        <w:t xml:space="preserve"> are moderately wasted or too thin for their height</w:t>
      </w:r>
      <w:r w:rsidR="00E91646">
        <w:t xml:space="preserve"> (MIC</w:t>
      </w:r>
      <w:r w:rsidR="00777BB2">
        <w:t>S,</w:t>
      </w:r>
      <w:r w:rsidR="00E91646">
        <w:t xml:space="preserve"> 2010)</w:t>
      </w:r>
      <w:r w:rsidR="00E91646" w:rsidRPr="00E91646">
        <w:t>.</w:t>
      </w:r>
    </w:p>
    <w:p w14:paraId="3A006B93" w14:textId="063055BB" w:rsidR="00226CE5" w:rsidRDefault="00AC2A01" w:rsidP="006A3E20">
      <w:pPr>
        <w:spacing w:line="360" w:lineRule="auto"/>
        <w:ind w:left="-6" w:hanging="11"/>
        <w:jc w:val="both"/>
      </w:pPr>
      <w:r>
        <w:rPr>
          <w:bCs/>
          <w:iCs/>
        </w:rPr>
        <w:t>Furthermore, a</w:t>
      </w:r>
      <w:r w:rsidR="00E61D71" w:rsidRPr="0094607A">
        <w:rPr>
          <w:bCs/>
          <w:iCs/>
        </w:rPr>
        <w:t xml:space="preserve">flatoxin contamination </w:t>
      </w:r>
      <w:r w:rsidR="00CC3689">
        <w:rPr>
          <w:bCs/>
          <w:iCs/>
        </w:rPr>
        <w:t xml:space="preserve">of agricultural commodities </w:t>
      </w:r>
      <w:r w:rsidR="00E61D71" w:rsidRPr="0094607A">
        <w:rPr>
          <w:bCs/>
          <w:iCs/>
        </w:rPr>
        <w:t>can reduce the volume and value of agricultural sector output, generally,</w:t>
      </w:r>
      <w:r w:rsidR="00E61D71" w:rsidRPr="00AC2A01">
        <w:t xml:space="preserve"> </w:t>
      </w:r>
      <w:r w:rsidR="00E61D71" w:rsidRPr="0094607A">
        <w:rPr>
          <w:bCs/>
          <w:iCs/>
        </w:rPr>
        <w:t>and impact each of the four pillars of food security - availability of food, access to food, utilization</w:t>
      </w:r>
      <w:r w:rsidR="00E61D71" w:rsidRPr="00AC2A01">
        <w:t xml:space="preserve"> </w:t>
      </w:r>
      <w:r w:rsidR="00E61D71" w:rsidRPr="0094607A">
        <w:rPr>
          <w:bCs/>
          <w:iCs/>
        </w:rPr>
        <w:t>of food and stability in each of these three elements</w:t>
      </w:r>
      <w:r w:rsidR="004D7389" w:rsidRPr="0094607A">
        <w:rPr>
          <w:bCs/>
          <w:iCs/>
        </w:rPr>
        <w:t>.</w:t>
      </w:r>
      <w:r w:rsidR="006A3E20">
        <w:t xml:space="preserve"> </w:t>
      </w:r>
      <w:r w:rsidR="00E61D71" w:rsidRPr="009231BB">
        <w:t xml:space="preserve">Contamination in staple crops can directly reduce the local availability of safe and nutritious food. Producers not able to comply with more stringent regulations will earn less, which reduces farm households’ capacity to access purchased food. Greater food insecurity can result from poor utilization if the food consumed is not nutritionally adequate or if it has deteriorated due to mould. The dependence of aflatoxin prevalence on climatic conditions places the stability of food security at risk as well. </w:t>
      </w:r>
    </w:p>
    <w:p w14:paraId="73E93372" w14:textId="77777777" w:rsidR="00B103BF" w:rsidRDefault="00B103BF" w:rsidP="004D7389">
      <w:pPr>
        <w:spacing w:after="0" w:line="468" w:lineRule="auto"/>
        <w:jc w:val="both"/>
      </w:pPr>
    </w:p>
    <w:p w14:paraId="4813AEBA" w14:textId="07559E4F" w:rsidR="00E61D71" w:rsidRPr="009231BB" w:rsidRDefault="00226CE5" w:rsidP="0045384A">
      <w:pPr>
        <w:spacing w:after="311" w:line="360" w:lineRule="auto"/>
        <w:ind w:left="-6" w:hanging="11"/>
        <w:jc w:val="both"/>
      </w:pPr>
      <w:r w:rsidRPr="0045384A">
        <w:rPr>
          <w:bCs/>
          <w:iCs/>
        </w:rPr>
        <w:t>The Gambia is not self-sufficient in food</w:t>
      </w:r>
      <w:r w:rsidR="00993082">
        <w:rPr>
          <w:bCs/>
          <w:iCs/>
        </w:rPr>
        <w:t>;</w:t>
      </w:r>
      <w:r w:rsidRPr="0045384A">
        <w:rPr>
          <w:bCs/>
          <w:iCs/>
        </w:rPr>
        <w:t xml:space="preserve"> </w:t>
      </w:r>
      <w:r w:rsidR="00E91646" w:rsidRPr="0045384A">
        <w:rPr>
          <w:bCs/>
          <w:iCs/>
        </w:rPr>
        <w:t>both imported and</w:t>
      </w:r>
      <w:r w:rsidRPr="0045384A">
        <w:rPr>
          <w:bCs/>
          <w:iCs/>
        </w:rPr>
        <w:t xml:space="preserve"> locally produced and processed </w:t>
      </w:r>
      <w:r w:rsidRPr="0045384A">
        <w:t>food</w:t>
      </w:r>
      <w:r w:rsidR="00E91646" w:rsidRPr="0045384A">
        <w:t xml:space="preserve">s </w:t>
      </w:r>
      <w:r w:rsidR="00E91646">
        <w:t>are consumed by the general population.  People consume groundnuts and cereals that are locally processed in their home</w:t>
      </w:r>
      <w:r w:rsidR="00993082">
        <w:t>s mostly</w:t>
      </w:r>
      <w:r w:rsidR="00E91646">
        <w:t xml:space="preserve"> with no regard to quality checks and food safety. </w:t>
      </w:r>
      <w:r w:rsidR="00214EC8">
        <w:t xml:space="preserve">Groundnuts are usually contaminated with aflatoxins, </w:t>
      </w:r>
      <w:r w:rsidR="006F7724">
        <w:t xml:space="preserve">while </w:t>
      </w:r>
      <w:r w:rsidR="00214EC8">
        <w:t xml:space="preserve">maize and rice are </w:t>
      </w:r>
      <w:r w:rsidR="006F7724">
        <w:t xml:space="preserve">highly </w:t>
      </w:r>
      <w:r w:rsidR="00214EC8">
        <w:t xml:space="preserve">susceptible to aflatoxin contamination. The </w:t>
      </w:r>
      <w:r w:rsidR="00214EC8">
        <w:lastRenderedPageBreak/>
        <w:t xml:space="preserve">majority of Gambians are however not </w:t>
      </w:r>
      <w:r>
        <w:t xml:space="preserve">aware of the existence of these toxins in their food and their effects on health. </w:t>
      </w:r>
      <w:r w:rsidR="00214EC8">
        <w:t xml:space="preserve">Gambians </w:t>
      </w:r>
      <w:r>
        <w:t xml:space="preserve">are therefore at greater risk of exposure to </w:t>
      </w:r>
      <w:r w:rsidR="00214EC8">
        <w:t>aflatoxins</w:t>
      </w:r>
      <w:r>
        <w:t>.</w:t>
      </w:r>
    </w:p>
    <w:p w14:paraId="1DB977AC" w14:textId="72AED0A1" w:rsidR="004D7389" w:rsidRDefault="00E61D71" w:rsidP="0045384A">
      <w:pPr>
        <w:spacing w:line="360" w:lineRule="auto"/>
        <w:ind w:left="-6" w:hanging="11"/>
        <w:jc w:val="both"/>
        <w:rPr>
          <w:b/>
          <w:i/>
        </w:rPr>
      </w:pPr>
      <w:r w:rsidRPr="009231BB">
        <w:rPr>
          <w:b/>
          <w:i/>
        </w:rPr>
        <w:t>Aflatoxin can impact domestic and international trade of commodities</w:t>
      </w:r>
    </w:p>
    <w:p w14:paraId="7F521EDE" w14:textId="37869245" w:rsidR="00214EC8" w:rsidRDefault="00E70F9A" w:rsidP="0045384A">
      <w:pPr>
        <w:spacing w:line="360" w:lineRule="auto"/>
        <w:ind w:left="-6" w:hanging="11"/>
        <w:jc w:val="both"/>
      </w:pPr>
      <w:r>
        <w:t xml:space="preserve">The </w:t>
      </w:r>
      <w:r w:rsidR="00C43080">
        <w:t xml:space="preserve">Codex </w:t>
      </w:r>
      <w:r>
        <w:t xml:space="preserve">Alimentarius Commission </w:t>
      </w:r>
      <w:r w:rsidR="00C43080">
        <w:t>has set i</w:t>
      </w:r>
      <w:r w:rsidR="00E61D71" w:rsidRPr="009231BB">
        <w:t>nternational standards for aflatoxin and many countries have established regulations to limit human and animal exposure, typically expressed in parts per billion (ppb). While regulation is clearly warranted to protect the consumer, food and feed safety regulations can result in foregone revenues and profit from domestic commerce and international trade</w:t>
      </w:r>
      <w:r w:rsidR="00E42E5D">
        <w:t>; therefore, p</w:t>
      </w:r>
      <w:r w:rsidR="00E61D71" w:rsidRPr="009231BB">
        <w:t>roducers, traders, and processors incur increased operating costs as they strive to meet the standards. If they fail to comply, additional costs will arise from rejection of shipments; increased rates of sampling at borders; and in the worst case, loss of admissibility into foreign markets. While the regulatory control regime with respect to aflatoxin varies across most African countries, any or all such costs may occur if regulations are tightened or more strictly enforced. Similarly, actual costs of reducing contamination will rise to the extent that consumers become more aware and demanding, or traders apply higher science-based standards, or processors begin to test susceptible raw materials.</w:t>
      </w:r>
    </w:p>
    <w:p w14:paraId="3622E73E" w14:textId="6D8110F4" w:rsidR="00E61D71" w:rsidRDefault="00025CD4" w:rsidP="0045384A">
      <w:pPr>
        <w:spacing w:line="360" w:lineRule="auto"/>
        <w:ind w:left="-6" w:hanging="11"/>
        <w:jc w:val="both"/>
      </w:pPr>
      <w:r w:rsidRPr="00C246B5">
        <w:t xml:space="preserve">Groundnut is </w:t>
      </w:r>
      <w:r w:rsidR="009D48AF">
        <w:t>T</w:t>
      </w:r>
      <w:r w:rsidRPr="00C246B5">
        <w:t xml:space="preserve">he </w:t>
      </w:r>
      <w:r w:rsidR="009D48AF">
        <w:t xml:space="preserve">Gambia’s </w:t>
      </w:r>
      <w:r w:rsidRPr="00C246B5">
        <w:t xml:space="preserve">principal export crop constituting </w:t>
      </w:r>
      <w:r w:rsidR="00CC2EB0">
        <w:t xml:space="preserve">approximately </w:t>
      </w:r>
      <w:r w:rsidRPr="00C246B5">
        <w:t>66</w:t>
      </w:r>
      <w:r>
        <w:t>%</w:t>
      </w:r>
      <w:r w:rsidRPr="00C246B5">
        <w:t xml:space="preserve"> of the earnings from agricultural exports</w:t>
      </w:r>
      <w:r w:rsidR="009D48AF">
        <w:t xml:space="preserve">. The </w:t>
      </w:r>
      <w:r>
        <w:t xml:space="preserve">European Union’s (EU) </w:t>
      </w:r>
      <w:r w:rsidR="009D48AF">
        <w:t xml:space="preserve">was the most important market for Gambian groundnuts, but </w:t>
      </w:r>
      <w:r w:rsidR="009D48AF" w:rsidRPr="009D48AF">
        <w:t>the imposition of strict aflat</w:t>
      </w:r>
      <w:r w:rsidR="009D48AF">
        <w:t xml:space="preserve">oxin standards </w:t>
      </w:r>
      <w:r>
        <w:t xml:space="preserve">has </w:t>
      </w:r>
      <w:r w:rsidRPr="00025CD4">
        <w:t>effectively restrict</w:t>
      </w:r>
      <w:r>
        <w:t>ed</w:t>
      </w:r>
      <w:r w:rsidR="00911AC3">
        <w:t xml:space="preserve"> entry of T</w:t>
      </w:r>
      <w:r w:rsidRPr="00025CD4">
        <w:t>he Gambia’s groundnut</w:t>
      </w:r>
      <w:r w:rsidR="00EC39BB">
        <w:t xml:space="preserve"> con</w:t>
      </w:r>
      <w:r w:rsidRPr="00025CD4">
        <w:t>s</w:t>
      </w:r>
      <w:r w:rsidR="00EC39BB">
        <w:t>ignment</w:t>
      </w:r>
      <w:r w:rsidR="00361D80">
        <w:t>s</w:t>
      </w:r>
      <w:r w:rsidRPr="00025CD4">
        <w:t xml:space="preserve"> </w:t>
      </w:r>
      <w:r>
        <w:t xml:space="preserve">to the EU. </w:t>
      </w:r>
      <w:r w:rsidR="009D48AF">
        <w:t>T</w:t>
      </w:r>
      <w:r w:rsidR="009D48AF" w:rsidRPr="009D48AF">
        <w:t xml:space="preserve">here is </w:t>
      </w:r>
      <w:r w:rsidR="009D48AF">
        <w:t xml:space="preserve">a </w:t>
      </w:r>
      <w:r w:rsidR="009D48AF" w:rsidRPr="009D48AF">
        <w:t>need for the country to deal effectively with the export-restricting problems posed by aflatoxin contamination</w:t>
      </w:r>
      <w:r w:rsidR="009D48AF">
        <w:t>.</w:t>
      </w:r>
      <w:r w:rsidR="009D48AF" w:rsidRPr="009D48AF">
        <w:t xml:space="preserve"> </w:t>
      </w:r>
    </w:p>
    <w:p w14:paraId="7001B221" w14:textId="446DE51C" w:rsidR="000C17C7" w:rsidRDefault="00F45DF1" w:rsidP="0045384A">
      <w:pPr>
        <w:spacing w:line="360" w:lineRule="auto"/>
        <w:ind w:left="-6" w:hanging="11"/>
        <w:jc w:val="both"/>
      </w:pPr>
      <w:r>
        <w:t>In resp</w:t>
      </w:r>
      <w:r w:rsidR="004C5442">
        <w:t>onse to the challenge in ensuring food safety, including the mitigation of risks associated with the consumption of aflatoxin contaminated food and feeds,</w:t>
      </w:r>
      <w:r>
        <w:t xml:space="preserve"> The Gambia </w:t>
      </w:r>
      <w:r w:rsidR="004C5442">
        <w:t>enacted the Food Safety and Quality Act 2011</w:t>
      </w:r>
      <w:r w:rsidR="00821986">
        <w:t>.</w:t>
      </w:r>
      <w:r w:rsidR="00821986" w:rsidRPr="00821986">
        <w:t xml:space="preserve"> </w:t>
      </w:r>
      <w:r w:rsidR="00821986">
        <w:t xml:space="preserve">The Act has established the Food Safety and Quality Authority (FSQA) as the </w:t>
      </w:r>
      <w:r w:rsidR="00DD0791">
        <w:t>N</w:t>
      </w:r>
      <w:r w:rsidR="00821986">
        <w:t>ational competent authority and given the priority and high profile accorded to food safety, the government decided to place the FSQA in</w:t>
      </w:r>
      <w:r w:rsidR="00536D51">
        <w:t xml:space="preserve"> the O</w:t>
      </w:r>
      <w:r w:rsidR="00821986">
        <w:t>ffice of the President.</w:t>
      </w:r>
      <w:r w:rsidR="004C5442">
        <w:t xml:space="preserve"> The Act is a modern science</w:t>
      </w:r>
      <w:r w:rsidR="002159DE">
        <w:t>-</w:t>
      </w:r>
      <w:r w:rsidR="004C5442">
        <w:t xml:space="preserve"> and risk</w:t>
      </w:r>
      <w:r w:rsidR="002159DE">
        <w:t>-</w:t>
      </w:r>
      <w:r w:rsidR="004C5442">
        <w:t>based legal</w:t>
      </w:r>
      <w:r w:rsidR="00EF2384">
        <w:t xml:space="preserve"> food safety management instrument that covers the entire food value chain </w:t>
      </w:r>
      <w:r w:rsidR="00536D51">
        <w:t>f</w:t>
      </w:r>
      <w:r w:rsidR="00EF2384">
        <w:t xml:space="preserve">rom production to consumption. </w:t>
      </w:r>
      <w:r w:rsidR="005F0E39" w:rsidRPr="00536D51">
        <w:t>The FSQA became operational in 2013 and henceforth has been focussing on its food control mandate (inspection). The food safety science related work, the development of regulations</w:t>
      </w:r>
      <w:r w:rsidR="000D3198" w:rsidRPr="00536D51">
        <w:t xml:space="preserve"> and enforcement regimes</w:t>
      </w:r>
      <w:r w:rsidR="005F0E39" w:rsidRPr="00536D51">
        <w:t xml:space="preserve"> are yet to take off in earnest</w:t>
      </w:r>
      <w:r w:rsidR="002B4690" w:rsidRPr="00536D51">
        <w:t>. The institutional framework of the FSQA has all the elements necessary f</w:t>
      </w:r>
      <w:r w:rsidR="002B4690">
        <w:t xml:space="preserve">or the assessment of </w:t>
      </w:r>
      <w:r w:rsidR="00536D51">
        <w:t>risk related to</w:t>
      </w:r>
      <w:r w:rsidR="002B4690">
        <w:t xml:space="preserve"> aflatoxin in The Gambia and for its mitigation if the structures and systems are </w:t>
      </w:r>
      <w:r w:rsidR="00536D51">
        <w:t xml:space="preserve">fully </w:t>
      </w:r>
      <w:r w:rsidR="002B4690">
        <w:t xml:space="preserve">operationalized.  </w:t>
      </w:r>
    </w:p>
    <w:p w14:paraId="57180F0E" w14:textId="730BD277" w:rsidR="009D48AF" w:rsidRDefault="001D7732" w:rsidP="001D7732">
      <w:pPr>
        <w:pStyle w:val="Heading1"/>
      </w:pPr>
      <w:bookmarkStart w:id="5" w:name="_Toc427672742"/>
      <w:r>
        <w:lastRenderedPageBreak/>
        <w:t xml:space="preserve">2.0 </w:t>
      </w:r>
      <w:r w:rsidR="009D48AF" w:rsidRPr="00573E53">
        <w:t xml:space="preserve">The </w:t>
      </w:r>
      <w:r w:rsidR="00573E53">
        <w:t>c</w:t>
      </w:r>
      <w:r w:rsidR="009D48AF" w:rsidRPr="00573E53">
        <w:t>ountry assessment</w:t>
      </w:r>
      <w:bookmarkEnd w:id="5"/>
    </w:p>
    <w:p w14:paraId="40BA081F" w14:textId="77777777" w:rsidR="002A3F9B" w:rsidRPr="002A3F9B" w:rsidRDefault="002A3F9B" w:rsidP="002A3F9B">
      <w:pPr>
        <w:pStyle w:val="ListParagraph"/>
        <w:ind w:left="375" w:firstLine="0"/>
      </w:pPr>
    </w:p>
    <w:p w14:paraId="5A5EF53B" w14:textId="4AF17C02" w:rsidR="00E61D71" w:rsidRPr="001D7732" w:rsidRDefault="00E61D71" w:rsidP="007E2B33">
      <w:pPr>
        <w:spacing w:line="360" w:lineRule="auto"/>
        <w:jc w:val="both"/>
        <w:rPr>
          <w:color w:val="auto"/>
        </w:rPr>
      </w:pPr>
      <w:r w:rsidRPr="009231BB">
        <w:t xml:space="preserve">This country assessment </w:t>
      </w:r>
      <w:r w:rsidR="00FE7486">
        <w:t>covers</w:t>
      </w:r>
      <w:r w:rsidRPr="009231BB">
        <w:t xml:space="preserve"> the three sectors that have priority under PACA</w:t>
      </w:r>
      <w:r w:rsidR="00FE7486">
        <w:t>’s program</w:t>
      </w:r>
      <w:r w:rsidRPr="009231BB">
        <w:t>, namely agriculture and food security, trade and health.</w:t>
      </w:r>
      <w:r w:rsidR="007E2B33">
        <w:t xml:space="preserve"> </w:t>
      </w:r>
      <w:r w:rsidRPr="009231BB">
        <w:t xml:space="preserve">The remaining Chapters of this report </w:t>
      </w:r>
      <w:r w:rsidR="001874C4">
        <w:t>are</w:t>
      </w:r>
      <w:r w:rsidR="001874C4" w:rsidRPr="009231BB">
        <w:t xml:space="preserve"> </w:t>
      </w:r>
      <w:r w:rsidRPr="009231BB">
        <w:t xml:space="preserve">organized as follows: </w:t>
      </w:r>
      <w:r w:rsidR="00DE6409" w:rsidRPr="001D7732">
        <w:rPr>
          <w:color w:val="auto"/>
        </w:rPr>
        <w:t>Chapter 3</w:t>
      </w:r>
      <w:r w:rsidRPr="001D7732">
        <w:rPr>
          <w:color w:val="auto"/>
        </w:rPr>
        <w:t xml:space="preserve"> briefly presents a conceptual framework for conducting country assessments, while the subsequent chapters present the results of this assessment</w:t>
      </w:r>
      <w:r w:rsidR="00237990">
        <w:rPr>
          <w:color w:val="auto"/>
        </w:rPr>
        <w:t xml:space="preserve"> in the following order – (a) </w:t>
      </w:r>
      <w:r w:rsidRPr="001D7732">
        <w:rPr>
          <w:color w:val="auto"/>
        </w:rPr>
        <w:t>identifi</w:t>
      </w:r>
      <w:r w:rsidR="00237990">
        <w:rPr>
          <w:color w:val="auto"/>
        </w:rPr>
        <w:t>cation of</w:t>
      </w:r>
      <w:r w:rsidRPr="001D7732">
        <w:rPr>
          <w:color w:val="auto"/>
        </w:rPr>
        <w:t xml:space="preserve"> priority crops of </w:t>
      </w:r>
      <w:r w:rsidR="00DE6409" w:rsidRPr="001D7732">
        <w:rPr>
          <w:color w:val="auto"/>
        </w:rPr>
        <w:t>concern in The Gambia</w:t>
      </w:r>
      <w:r w:rsidR="009156D3">
        <w:rPr>
          <w:color w:val="auto"/>
        </w:rPr>
        <w:t>,</w:t>
      </w:r>
      <w:r w:rsidR="00DE6409" w:rsidRPr="001D7732">
        <w:rPr>
          <w:color w:val="auto"/>
        </w:rPr>
        <w:t xml:space="preserve"> </w:t>
      </w:r>
      <w:r w:rsidR="00237990">
        <w:rPr>
          <w:color w:val="auto"/>
        </w:rPr>
        <w:t xml:space="preserve">(b) </w:t>
      </w:r>
      <w:r w:rsidRPr="001D7732">
        <w:rPr>
          <w:color w:val="auto"/>
        </w:rPr>
        <w:t xml:space="preserve">prevalence </w:t>
      </w:r>
      <w:r w:rsidR="009156D3">
        <w:rPr>
          <w:color w:val="auto"/>
        </w:rPr>
        <w:t xml:space="preserve">(distribution and degree) </w:t>
      </w:r>
      <w:r w:rsidRPr="001D7732">
        <w:rPr>
          <w:color w:val="auto"/>
        </w:rPr>
        <w:t>of aflatoxin</w:t>
      </w:r>
      <w:r w:rsidR="009156D3">
        <w:rPr>
          <w:color w:val="auto"/>
        </w:rPr>
        <w:t xml:space="preserve"> contamination in the identified crops</w:t>
      </w:r>
      <w:r w:rsidR="00237990">
        <w:rPr>
          <w:color w:val="auto"/>
        </w:rPr>
        <w:t>,</w:t>
      </w:r>
      <w:r w:rsidR="00DE6409" w:rsidRPr="001D7732">
        <w:rPr>
          <w:color w:val="auto"/>
        </w:rPr>
        <w:t xml:space="preserve"> </w:t>
      </w:r>
      <w:r w:rsidR="00237990">
        <w:rPr>
          <w:color w:val="auto"/>
        </w:rPr>
        <w:t>(c)</w:t>
      </w:r>
      <w:r w:rsidRPr="001D7732">
        <w:rPr>
          <w:color w:val="auto"/>
        </w:rPr>
        <w:t xml:space="preserve"> current risks of aflatoxin contamination and exposure</w:t>
      </w:r>
      <w:r w:rsidR="00DE6409" w:rsidRPr="001D7732">
        <w:rPr>
          <w:color w:val="auto"/>
        </w:rPr>
        <w:t xml:space="preserve"> </w:t>
      </w:r>
      <w:r w:rsidR="00237990">
        <w:rPr>
          <w:color w:val="auto"/>
        </w:rPr>
        <w:t>existing</w:t>
      </w:r>
      <w:r w:rsidR="00DE6409" w:rsidRPr="001D7732">
        <w:rPr>
          <w:color w:val="auto"/>
        </w:rPr>
        <w:t xml:space="preserve"> in </w:t>
      </w:r>
      <w:r w:rsidR="00237990">
        <w:rPr>
          <w:color w:val="auto"/>
        </w:rPr>
        <w:t xml:space="preserve">The </w:t>
      </w:r>
      <w:r w:rsidR="00DE6409" w:rsidRPr="001D7732">
        <w:rPr>
          <w:color w:val="auto"/>
        </w:rPr>
        <w:t>Gambia</w:t>
      </w:r>
      <w:r w:rsidR="00237990">
        <w:rPr>
          <w:color w:val="auto"/>
        </w:rPr>
        <w:t>,</w:t>
      </w:r>
      <w:r w:rsidR="00DE6409" w:rsidRPr="001D7732">
        <w:rPr>
          <w:color w:val="auto"/>
        </w:rPr>
        <w:t xml:space="preserve"> </w:t>
      </w:r>
      <w:r w:rsidR="00237990">
        <w:rPr>
          <w:color w:val="auto"/>
        </w:rPr>
        <w:t xml:space="preserve">(d) </w:t>
      </w:r>
      <w:r w:rsidR="00DE6409" w:rsidRPr="001D7732">
        <w:rPr>
          <w:color w:val="auto"/>
        </w:rPr>
        <w:t>awareness levels</w:t>
      </w:r>
      <w:r w:rsidRPr="001D7732">
        <w:rPr>
          <w:color w:val="auto"/>
        </w:rPr>
        <w:t xml:space="preserve"> </w:t>
      </w:r>
      <w:r w:rsidR="00237990">
        <w:rPr>
          <w:color w:val="auto"/>
        </w:rPr>
        <w:t>among stakeholders</w:t>
      </w:r>
      <w:r w:rsidR="00B61267">
        <w:rPr>
          <w:color w:val="auto"/>
        </w:rPr>
        <w:t>, (e)</w:t>
      </w:r>
      <w:r w:rsidRPr="001D7732">
        <w:rPr>
          <w:color w:val="auto"/>
        </w:rPr>
        <w:t xml:space="preserve"> economic impact </w:t>
      </w:r>
      <w:r w:rsidR="00B61267">
        <w:rPr>
          <w:color w:val="auto"/>
        </w:rPr>
        <w:t xml:space="preserve">analyses </w:t>
      </w:r>
      <w:r w:rsidRPr="001D7732">
        <w:rPr>
          <w:color w:val="auto"/>
        </w:rPr>
        <w:t xml:space="preserve">of aflatoxin contamination in </w:t>
      </w:r>
      <w:r w:rsidR="00B61267">
        <w:rPr>
          <w:color w:val="auto"/>
        </w:rPr>
        <w:t>the country, (f)</w:t>
      </w:r>
      <w:r w:rsidRPr="001D7732">
        <w:rPr>
          <w:color w:val="auto"/>
        </w:rPr>
        <w:t xml:space="preserve"> </w:t>
      </w:r>
      <w:r w:rsidR="00B61267">
        <w:rPr>
          <w:color w:val="auto"/>
        </w:rPr>
        <w:t>identification of</w:t>
      </w:r>
      <w:r w:rsidR="00DE6409" w:rsidRPr="001D7732">
        <w:rPr>
          <w:color w:val="auto"/>
        </w:rPr>
        <w:t xml:space="preserve"> gaps and intervention options</w:t>
      </w:r>
      <w:r w:rsidR="00B61267">
        <w:rPr>
          <w:color w:val="auto"/>
        </w:rPr>
        <w:t xml:space="preserve"> for aflatoxin mitigation in the country, (g)</w:t>
      </w:r>
      <w:r w:rsidR="004A36D0">
        <w:rPr>
          <w:color w:val="auto"/>
        </w:rPr>
        <w:t xml:space="preserve"> p</w:t>
      </w:r>
      <w:r w:rsidR="004A36D0" w:rsidRPr="00F57F75">
        <w:t xml:space="preserve">olicy, </w:t>
      </w:r>
      <w:r w:rsidR="004A36D0">
        <w:t>legal</w:t>
      </w:r>
      <w:r w:rsidR="004A36D0" w:rsidRPr="00F57F75">
        <w:t xml:space="preserve"> and institutional environment as it pertains to aflatoxins</w:t>
      </w:r>
      <w:r w:rsidR="00B61267">
        <w:t>, and (h)</w:t>
      </w:r>
      <w:r w:rsidR="008352EF" w:rsidRPr="001D7732">
        <w:rPr>
          <w:color w:val="auto"/>
        </w:rPr>
        <w:t xml:space="preserve"> conclusions of the situation and economic impact assessments.</w:t>
      </w:r>
    </w:p>
    <w:p w14:paraId="1B87B57D" w14:textId="5AAE42AF" w:rsidR="009D48AF" w:rsidRPr="001D7732" w:rsidRDefault="008352EF" w:rsidP="008352EF">
      <w:pPr>
        <w:pStyle w:val="Heading1"/>
        <w:rPr>
          <w:color w:val="auto"/>
        </w:rPr>
      </w:pPr>
      <w:bookmarkStart w:id="6" w:name="_Toc427672743"/>
      <w:r w:rsidRPr="001D7732">
        <w:rPr>
          <w:color w:val="auto"/>
        </w:rPr>
        <w:t xml:space="preserve">3.0 </w:t>
      </w:r>
      <w:r w:rsidR="009D48AF" w:rsidRPr="001D7732">
        <w:rPr>
          <w:color w:val="auto"/>
        </w:rPr>
        <w:t>Overview of the Conceptual Framework</w:t>
      </w:r>
      <w:bookmarkEnd w:id="6"/>
    </w:p>
    <w:p w14:paraId="020ADE4B" w14:textId="77777777" w:rsidR="002A3F9B" w:rsidRPr="001D7732" w:rsidRDefault="002A3F9B" w:rsidP="002A3F9B">
      <w:pPr>
        <w:pStyle w:val="ListParagraph"/>
        <w:ind w:left="375" w:firstLine="0"/>
        <w:rPr>
          <w:color w:val="auto"/>
        </w:rPr>
      </w:pPr>
    </w:p>
    <w:p w14:paraId="06F71593" w14:textId="77777777" w:rsidR="00E61D71" w:rsidRPr="009231BB" w:rsidRDefault="00E61D71" w:rsidP="00E61D71">
      <w:pPr>
        <w:spacing w:line="360" w:lineRule="auto"/>
        <w:jc w:val="both"/>
      </w:pPr>
      <w:r w:rsidRPr="009231BB">
        <w:t xml:space="preserve">The core steps followed in conducting this country assessment are: </w:t>
      </w:r>
    </w:p>
    <w:p w14:paraId="500362FF" w14:textId="751BD376" w:rsidR="00E61D71" w:rsidRPr="009231BB" w:rsidRDefault="00E61D71" w:rsidP="00E61D71">
      <w:pPr>
        <w:spacing w:line="360" w:lineRule="auto"/>
        <w:jc w:val="both"/>
      </w:pPr>
      <w:r w:rsidRPr="009231BB">
        <w:rPr>
          <w:b/>
        </w:rPr>
        <w:t>Step 1: Identify Key Crops of Concern.</w:t>
      </w:r>
      <w:r w:rsidRPr="009231BB">
        <w:t xml:space="preserve"> An initial list of potential crops for study was agreed at the PACA Pilot Country Inception Workshop </w:t>
      </w:r>
      <w:r w:rsidR="00FF50A2">
        <w:t xml:space="preserve">held in </w:t>
      </w:r>
      <w:r w:rsidRPr="009231BB">
        <w:t>Tanzania from 10</w:t>
      </w:r>
      <w:r w:rsidRPr="009231BB">
        <w:rPr>
          <w:vertAlign w:val="superscript"/>
        </w:rPr>
        <w:t>th</w:t>
      </w:r>
      <w:r w:rsidRPr="009231BB">
        <w:t xml:space="preserve"> to 11</w:t>
      </w:r>
      <w:r w:rsidRPr="009231BB">
        <w:rPr>
          <w:vertAlign w:val="superscript"/>
        </w:rPr>
        <w:t>th</w:t>
      </w:r>
      <w:r w:rsidRPr="009231BB">
        <w:t xml:space="preserve"> June, 2014. These comprise groundnuts, maize, rice, millet for the West Africa sub-region. The </w:t>
      </w:r>
      <w:r w:rsidR="009F0B07">
        <w:t>Aflatoxin Technical Working Group (</w:t>
      </w:r>
      <w:r w:rsidRPr="009231BB">
        <w:t>ATWG</w:t>
      </w:r>
      <w:r w:rsidR="009F0B07">
        <w:t>)</w:t>
      </w:r>
      <w:r w:rsidRPr="009231BB">
        <w:t xml:space="preserve"> subsequently approved groundnut, maize and rice (</w:t>
      </w:r>
      <w:r w:rsidRPr="009231BB">
        <w:rPr>
          <w:color w:val="auto"/>
        </w:rPr>
        <w:t>in order of priority)</w:t>
      </w:r>
      <w:r w:rsidRPr="009231BB">
        <w:t xml:space="preserve"> at the presentation of the Inception Report (22</w:t>
      </w:r>
      <w:r w:rsidRPr="009231BB">
        <w:rPr>
          <w:vertAlign w:val="superscript"/>
        </w:rPr>
        <w:t>nd</w:t>
      </w:r>
      <w:r w:rsidRPr="009231BB">
        <w:t xml:space="preserve"> January 2015) by IRIS Consultant</w:t>
      </w:r>
      <w:r w:rsidR="00474CDB">
        <w:t>s</w:t>
      </w:r>
      <w:r w:rsidRPr="009231BB">
        <w:t xml:space="preserve">. The selection criteria </w:t>
      </w:r>
      <w:r w:rsidR="00474CDB">
        <w:t>were</w:t>
      </w:r>
      <w:r w:rsidR="00474CDB" w:rsidRPr="009231BB">
        <w:t xml:space="preserve"> </w:t>
      </w:r>
      <w:r w:rsidRPr="009231BB">
        <w:t>based on crop susceptibility levels to aflatoxin contamination, production, consumption and contribution to food security and GDP.</w:t>
      </w:r>
    </w:p>
    <w:p w14:paraId="2CF9AC20" w14:textId="77777777" w:rsidR="00E61D71" w:rsidRPr="009231BB" w:rsidRDefault="00E61D71" w:rsidP="00E61D71">
      <w:pPr>
        <w:spacing w:line="360" w:lineRule="auto"/>
        <w:jc w:val="both"/>
      </w:pPr>
      <w:r w:rsidRPr="009231BB">
        <w:t xml:space="preserve"> </w:t>
      </w:r>
      <w:r w:rsidRPr="009231BB">
        <w:rPr>
          <w:b/>
        </w:rPr>
        <w:t xml:space="preserve">Step 2: Determine the Prevalence of Aflatoxin. </w:t>
      </w:r>
      <w:r w:rsidRPr="009231BB">
        <w:t xml:space="preserve">The prevalence, distribution and degree of aflatoxin contamination on the selected crops were determined through review of available secondary data; published reports; key informant interviews and focus group discussions. </w:t>
      </w:r>
    </w:p>
    <w:p w14:paraId="05CA9243" w14:textId="1805EFAF" w:rsidR="00E61D71" w:rsidRPr="009231BB" w:rsidRDefault="00E61D71" w:rsidP="00E61D71">
      <w:pPr>
        <w:spacing w:line="360" w:lineRule="auto"/>
        <w:jc w:val="both"/>
        <w:rPr>
          <w:b/>
        </w:rPr>
      </w:pPr>
      <w:r w:rsidRPr="009231BB">
        <w:rPr>
          <w:b/>
        </w:rPr>
        <w:t>Step 3: Characterize Risks of Aflatoxin Contamination and Exposure.</w:t>
      </w:r>
      <w:r w:rsidRPr="009231BB">
        <w:t xml:space="preserve"> The core risks of aflatoxin contamination in the selected commodities are low production and productivity in agriculture, losses in trade due to low quality, unsafe food and feed and associated health risks.  The core risks and final uses of the selected crops were assessed along the value chains using secondary data; checklists for value chain actors during focus group discussions, key informant interviews and observations during site visits. Fifteen focus group discussions were conducted in all the agro-ecological zones of the country. </w:t>
      </w:r>
    </w:p>
    <w:p w14:paraId="59D21FEA" w14:textId="6C2B152A" w:rsidR="00E61D71" w:rsidRPr="009231BB" w:rsidRDefault="00E61D71" w:rsidP="00D54E3D">
      <w:pPr>
        <w:spacing w:line="360" w:lineRule="auto"/>
        <w:jc w:val="both"/>
      </w:pPr>
      <w:r w:rsidRPr="009231BB">
        <w:rPr>
          <w:b/>
        </w:rPr>
        <w:lastRenderedPageBreak/>
        <w:t xml:space="preserve">Step 4: Estimate Economic Impact from Aflatoxin Contamination. </w:t>
      </w:r>
      <w:r w:rsidRPr="009231BB">
        <w:t xml:space="preserve">In this step we estimate the economic impacts on agriculture and food security, economic impacts resulting from market losses in both domestic and international markets, and economic impact resulting from the consumption of aflatoxin-contaminated food by humans. Depending on the finding from step 3, </w:t>
      </w:r>
      <w:r w:rsidR="004411E4">
        <w:t>further</w:t>
      </w:r>
      <w:r w:rsidR="004411E4" w:rsidRPr="009231BB">
        <w:t xml:space="preserve"> </w:t>
      </w:r>
      <w:r w:rsidRPr="009231BB">
        <w:t>analysis focus</w:t>
      </w:r>
      <w:r w:rsidR="004411E4">
        <w:t>ed</w:t>
      </w:r>
      <w:r w:rsidRPr="009231BB">
        <w:t xml:space="preserve"> on the most significant impacts (e.g., health impacts). </w:t>
      </w:r>
    </w:p>
    <w:p w14:paraId="6D1F2E12" w14:textId="4BD7E6D7" w:rsidR="00E61D71" w:rsidRPr="009231BB" w:rsidRDefault="00E61D71" w:rsidP="00E61D71">
      <w:pPr>
        <w:spacing w:line="360" w:lineRule="auto"/>
        <w:jc w:val="both"/>
      </w:pPr>
      <w:r w:rsidRPr="009231BB">
        <w:t xml:space="preserve">Data was obtained from secondary data; checklists for value chain actors during focus group discussions, key informant interviews and observations during site visits. The estimation of economic impact </w:t>
      </w:r>
      <w:r w:rsidR="00DA7344">
        <w:t xml:space="preserve">for price loss, export rejects and health economic impact </w:t>
      </w:r>
      <w:r w:rsidR="005038C1">
        <w:t>w</w:t>
      </w:r>
      <w:r w:rsidR="00DA7344">
        <w:t>ere analysed using formulae presented in section 8.3 and 8.4 of the report.</w:t>
      </w:r>
      <w:r w:rsidR="005038C1" w:rsidRPr="009231BB">
        <w:t xml:space="preserve"> </w:t>
      </w:r>
    </w:p>
    <w:p w14:paraId="44E2FF00" w14:textId="34BFA63D" w:rsidR="00E61D71" w:rsidRPr="009231BB" w:rsidRDefault="00E61D71" w:rsidP="00E61D71">
      <w:pPr>
        <w:spacing w:line="360" w:lineRule="auto"/>
        <w:jc w:val="both"/>
      </w:pPr>
      <w:r w:rsidRPr="009231BB">
        <w:rPr>
          <w:b/>
        </w:rPr>
        <w:t xml:space="preserve">Step 5: Identify Opportunities for Aflatoxin Control. </w:t>
      </w:r>
      <w:r w:rsidRPr="009231BB">
        <w:t xml:space="preserve">The institutional, legal and regulatory framework was assessed through literature review and an assessment of Food Safety and Quality Authority (FSQA) and the National Agricultural Research Institute (NARI) Aflatoxin testing laboratory. Focus group discussions and key informant interviews were also used to assess opportunities for awareness </w:t>
      </w:r>
      <w:r w:rsidR="004E6EA1">
        <w:t>creation</w:t>
      </w:r>
      <w:r w:rsidRPr="009231BB">
        <w:t xml:space="preserve">. Assessment of available control approaches and technologies was conducted through literature review, focus group discussions and key informant interviews. Based on the review of the risk of contamination along the value chain key gaps for aflatoxin control were identified.  </w:t>
      </w:r>
    </w:p>
    <w:p w14:paraId="535D7951" w14:textId="7762C6A8" w:rsidR="00E61D71" w:rsidRDefault="00E61D71" w:rsidP="00E61D71">
      <w:pPr>
        <w:spacing w:after="157" w:line="360" w:lineRule="auto"/>
        <w:ind w:left="0" w:firstLine="0"/>
        <w:jc w:val="both"/>
        <w:rPr>
          <w:color w:val="auto"/>
        </w:rPr>
      </w:pPr>
      <w:r w:rsidRPr="009231BB">
        <w:rPr>
          <w:b/>
          <w:color w:val="auto"/>
        </w:rPr>
        <w:t xml:space="preserve">Step 6:  Conduct Stakeholder Workshop to Validate Findings and Identify Priority Action Steps. </w:t>
      </w:r>
      <w:r w:rsidRPr="009231BB">
        <w:rPr>
          <w:color w:val="auto"/>
        </w:rPr>
        <w:t xml:space="preserve">In this final step, a multi-sectoral workshop will be conducted with key stakeholders representing agriculture, trade, and health from the public and private sectors to discuss the draft assessment. Key stakeholders (which include solutions providers, researchers, and legal and regulatory experts) </w:t>
      </w:r>
      <w:r w:rsidR="009E592F">
        <w:rPr>
          <w:color w:val="auto"/>
        </w:rPr>
        <w:t xml:space="preserve">will </w:t>
      </w:r>
      <w:r w:rsidRPr="009231BB">
        <w:rPr>
          <w:color w:val="auto"/>
        </w:rPr>
        <w:t xml:space="preserve">make presentations that augment the discussion to identify current prevention, control and mitigation opportunities and gaps. Breakout sessions with small groups </w:t>
      </w:r>
      <w:r w:rsidR="009E592F">
        <w:rPr>
          <w:color w:val="auto"/>
        </w:rPr>
        <w:t xml:space="preserve">will </w:t>
      </w:r>
      <w:r w:rsidRPr="009231BB">
        <w:rPr>
          <w:color w:val="auto"/>
        </w:rPr>
        <w:t>work to identify and sketch out priority action steps.</w:t>
      </w:r>
    </w:p>
    <w:p w14:paraId="43BA30E2" w14:textId="3D2F47BD" w:rsidR="00E61D71" w:rsidRDefault="00A95484" w:rsidP="0094607A">
      <w:pPr>
        <w:pStyle w:val="Heading1"/>
        <w:ind w:left="0" w:firstLine="0"/>
      </w:pPr>
      <w:bookmarkStart w:id="7" w:name="_Toc427672744"/>
      <w:r>
        <w:t>4.0</w:t>
      </w:r>
      <w:r>
        <w:tab/>
      </w:r>
      <w:r w:rsidR="00E61D71" w:rsidRPr="00573E53">
        <w:t>Identification of the Key Crops of Concern</w:t>
      </w:r>
      <w:bookmarkEnd w:id="7"/>
    </w:p>
    <w:p w14:paraId="09C6A247" w14:textId="77777777" w:rsidR="002A3F9B" w:rsidRPr="002A3F9B" w:rsidRDefault="002A3F9B" w:rsidP="002A3F9B">
      <w:pPr>
        <w:pStyle w:val="ListParagraph"/>
        <w:ind w:left="360" w:firstLine="0"/>
      </w:pPr>
    </w:p>
    <w:p w14:paraId="58F22372" w14:textId="3697CF9C" w:rsidR="00E61D71" w:rsidRPr="009231BB" w:rsidRDefault="00E61D71" w:rsidP="00E61D71">
      <w:pPr>
        <w:spacing w:line="360" w:lineRule="auto"/>
        <w:jc w:val="both"/>
      </w:pPr>
      <w:r w:rsidRPr="009231BB">
        <w:t xml:space="preserve">In The Gambia, crop production is widespread and carried out by smallholder farmers for food and cash. Major food crops grown comprise cereals (early and late millet, maize, sorghum and rice) and cash crops constitute groundnut, sesame and cotton. </w:t>
      </w:r>
      <w:r>
        <w:t xml:space="preserve">Groundnut, maize and rice (in order of priority) were identified </w:t>
      </w:r>
      <w:r w:rsidRPr="009231BB">
        <w:t xml:space="preserve">based on </w:t>
      </w:r>
      <w:r>
        <w:t>their</w:t>
      </w:r>
      <w:r w:rsidRPr="009231BB">
        <w:t xml:space="preserve"> susceptibility levels to aflatoxin contamination, production, consumption and contribution to food security and </w:t>
      </w:r>
      <w:r w:rsidR="007E2B33">
        <w:t>Gross Domestic Product (</w:t>
      </w:r>
      <w:r w:rsidRPr="009231BB">
        <w:t>GDP</w:t>
      </w:r>
      <w:r w:rsidR="007E2B33">
        <w:t>)</w:t>
      </w:r>
      <w:r w:rsidRPr="009231BB">
        <w:t>.</w:t>
      </w:r>
      <w:r>
        <w:t xml:space="preserve"> </w:t>
      </w:r>
      <w:r w:rsidRPr="009231BB">
        <w:t xml:space="preserve"> Figure 1 shows production levels of groundnut, maize and rice from 2005</w:t>
      </w:r>
      <w:r>
        <w:t xml:space="preserve">/06 </w:t>
      </w:r>
      <w:r w:rsidRPr="009231BB">
        <w:t>to 2014</w:t>
      </w:r>
      <w:r>
        <w:t>/15 cropping season</w:t>
      </w:r>
      <w:r w:rsidRPr="009231BB">
        <w:t>.</w:t>
      </w:r>
      <w:r>
        <w:t xml:space="preserve"> </w:t>
      </w:r>
      <w:r w:rsidRPr="009231BB">
        <w:t xml:space="preserve">Groundnut is the major cash crop of The Gambia. Its production averaged 106,110 </w:t>
      </w:r>
      <w:r>
        <w:t>MT</w:t>
      </w:r>
      <w:r w:rsidRPr="009231BB">
        <w:t xml:space="preserve"> over the last decade with the highest production registered </w:t>
      </w:r>
      <w:r w:rsidRPr="009231BB">
        <w:lastRenderedPageBreak/>
        <w:t xml:space="preserve">in 2006/2007 cropping season - 150,140 </w:t>
      </w:r>
      <w:r>
        <w:t>MT</w:t>
      </w:r>
      <w:r w:rsidRPr="009231BB">
        <w:t>.</w:t>
      </w:r>
      <w:r>
        <w:t xml:space="preserve"> </w:t>
      </w:r>
      <w:r w:rsidRPr="009231BB">
        <w:t xml:space="preserve">Maize serves as the first harvested, marketed and consumed crop for most farmers during the cropping season.  Its average annual production oscillated around 28,250 </w:t>
      </w:r>
      <w:r>
        <w:t>MT</w:t>
      </w:r>
      <w:r w:rsidRPr="009231BB">
        <w:t xml:space="preserve"> with the highest production registered in 2013/2014 crop year of 33,060 </w:t>
      </w:r>
      <w:r>
        <w:t>Mt</w:t>
      </w:r>
      <w:r w:rsidRPr="009231BB">
        <w:t>.</w:t>
      </w:r>
      <w:r>
        <w:t xml:space="preserve"> </w:t>
      </w:r>
      <w:r w:rsidRPr="009231BB">
        <w:t>Rice is the most important food crop in The Gambia</w:t>
      </w:r>
      <w:r w:rsidR="00126123">
        <w:t>;</w:t>
      </w:r>
      <w:r w:rsidRPr="009231BB">
        <w:t xml:space="preserve"> </w:t>
      </w:r>
      <w:r w:rsidR="00126123">
        <w:t>i</w:t>
      </w:r>
      <w:r w:rsidRPr="009231BB">
        <w:t xml:space="preserve">ts production in a decade (2005/2006 – 2014/2015) revolved around an annual average production of 38,390 </w:t>
      </w:r>
      <w:r>
        <w:t>MT</w:t>
      </w:r>
      <w:r w:rsidRPr="009231BB">
        <w:t xml:space="preserve"> paddy (24,951 </w:t>
      </w:r>
      <w:r>
        <w:t>MT</w:t>
      </w:r>
      <w:r w:rsidRPr="009231BB">
        <w:t xml:space="preserve"> milled) which is only 11% of the national requirement. The deficit is bridged by commercial imports and to some extent food aid. In 2013</w:t>
      </w:r>
      <w:r w:rsidR="008B207F">
        <w:t>,</w:t>
      </w:r>
      <w:r w:rsidRPr="009231BB">
        <w:t xml:space="preserve"> about 130,000 </w:t>
      </w:r>
      <w:r>
        <w:t>MT</w:t>
      </w:r>
      <w:r w:rsidRPr="009231BB">
        <w:t xml:space="preserve"> of milled rice were imported into the country some of which were also unofficially re-exported to the neighbouring countries.</w:t>
      </w:r>
    </w:p>
    <w:p w14:paraId="5C46A1FB" w14:textId="77777777" w:rsidR="00E61D71" w:rsidRDefault="00E61D71" w:rsidP="00E61D71">
      <w:pPr>
        <w:pStyle w:val="ListParagraph"/>
        <w:spacing w:after="200" w:line="360" w:lineRule="auto"/>
        <w:ind w:left="0" w:hanging="11"/>
        <w:jc w:val="both"/>
      </w:pPr>
    </w:p>
    <w:p w14:paraId="3784E531" w14:textId="77777777" w:rsidR="009A4C7E" w:rsidRPr="009231BB" w:rsidRDefault="009A4C7E" w:rsidP="00E61D71">
      <w:pPr>
        <w:pStyle w:val="ListParagraph"/>
        <w:spacing w:after="200" w:line="360" w:lineRule="auto"/>
        <w:ind w:left="0" w:hanging="11"/>
        <w:jc w:val="both"/>
      </w:pPr>
    </w:p>
    <w:p w14:paraId="1CC104A9" w14:textId="77777777" w:rsidR="00E61D71" w:rsidRPr="009231BB" w:rsidRDefault="00E61D71" w:rsidP="00E61D71">
      <w:pPr>
        <w:pStyle w:val="ListParagraph"/>
        <w:spacing w:after="200" w:line="360" w:lineRule="auto"/>
        <w:ind w:left="0" w:hanging="11"/>
        <w:jc w:val="center"/>
      </w:pPr>
      <w:r w:rsidRPr="009231BB">
        <w:rPr>
          <w:noProof/>
          <w:lang w:val="en-US" w:eastAsia="en-US"/>
        </w:rPr>
        <w:drawing>
          <wp:inline distT="0" distB="0" distL="0" distR="0" wp14:anchorId="6E4CAFED" wp14:editId="4733F250">
            <wp:extent cx="5143500" cy="30956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DC7F24" w14:textId="38C1E81B" w:rsidR="00E61D71" w:rsidRPr="009231BB" w:rsidRDefault="00E61D71" w:rsidP="00E61D71">
      <w:pPr>
        <w:pStyle w:val="ListParagraph"/>
        <w:spacing w:after="200" w:line="360" w:lineRule="auto"/>
        <w:ind w:left="0" w:hanging="11"/>
        <w:jc w:val="both"/>
      </w:pPr>
      <w:r w:rsidRPr="009231BB">
        <w:t xml:space="preserve">                     </w:t>
      </w:r>
      <w:r w:rsidRPr="0094607A">
        <w:rPr>
          <w:color w:val="auto"/>
        </w:rPr>
        <w:t xml:space="preserve"> Source:</w:t>
      </w:r>
      <w:r w:rsidR="00F939F9">
        <w:t xml:space="preserve"> Planning Services, Department of Agriculture</w:t>
      </w:r>
    </w:p>
    <w:p w14:paraId="18D7B8A9" w14:textId="77777777" w:rsidR="001C7682" w:rsidRDefault="001C7682" w:rsidP="002A3F9B">
      <w:pPr>
        <w:pStyle w:val="Heading1"/>
      </w:pPr>
    </w:p>
    <w:p w14:paraId="674994D4" w14:textId="790475FA" w:rsidR="00746886" w:rsidRPr="00573E53" w:rsidRDefault="002A3F9B" w:rsidP="002A3F9B">
      <w:pPr>
        <w:pStyle w:val="Heading1"/>
      </w:pPr>
      <w:bookmarkStart w:id="8" w:name="_Toc427672745"/>
      <w:r>
        <w:t xml:space="preserve">5.0 </w:t>
      </w:r>
      <w:r w:rsidR="00573E53">
        <w:t xml:space="preserve">Prevalence of </w:t>
      </w:r>
      <w:r w:rsidR="00B8759E">
        <w:t xml:space="preserve">aflatoxin and </w:t>
      </w:r>
      <w:r w:rsidR="00573E53">
        <w:t>a</w:t>
      </w:r>
      <w:r w:rsidR="00E61D71" w:rsidRPr="00573E53">
        <w:t>flatoxin-</w:t>
      </w:r>
      <w:r w:rsidR="00327779">
        <w:t>producing</w:t>
      </w:r>
      <w:r w:rsidR="00327779" w:rsidRPr="00573E53">
        <w:t xml:space="preserve"> </w:t>
      </w:r>
      <w:r w:rsidR="00E61D71" w:rsidRPr="00573E53">
        <w:t>fungus</w:t>
      </w:r>
      <w:bookmarkEnd w:id="8"/>
    </w:p>
    <w:p w14:paraId="36BA943E" w14:textId="77777777" w:rsidR="002A3F9B" w:rsidRDefault="002A3F9B" w:rsidP="00D5203A">
      <w:pPr>
        <w:spacing w:after="157" w:line="360" w:lineRule="auto"/>
        <w:jc w:val="both"/>
      </w:pPr>
    </w:p>
    <w:p w14:paraId="03A3AA07" w14:textId="102328B8" w:rsidR="00D5203A" w:rsidRPr="00C20E65" w:rsidRDefault="00E61D71" w:rsidP="00D5203A">
      <w:pPr>
        <w:spacing w:after="157" w:line="360" w:lineRule="auto"/>
        <w:jc w:val="both"/>
        <w:rPr>
          <w:b/>
        </w:rPr>
      </w:pPr>
      <w:r w:rsidRPr="00C20E65">
        <w:t>The prevalence, distribution and degree of aflatoxin contamination on the selected crops were determined through review of available secondary data; published reports; key informant interviews and focus group discussions.</w:t>
      </w:r>
      <w:r w:rsidR="00DD20B6">
        <w:t xml:space="preserve"> </w:t>
      </w:r>
      <w:r w:rsidR="008D06BC">
        <w:t>A</w:t>
      </w:r>
      <w:r w:rsidR="00DD20B6">
        <w:t xml:space="preserve">flatoxin contamination </w:t>
      </w:r>
      <w:r w:rsidR="008D06BC">
        <w:t>and prevalence in</w:t>
      </w:r>
      <w:r w:rsidR="00DD20B6">
        <w:t xml:space="preserve"> agricultural commodities is mostly determined by the type of aflatoxigenic strains present in the environment, agricultural practices, processing and storage conditions.</w:t>
      </w:r>
      <w:r w:rsidR="000D0A3E">
        <w:t xml:space="preserve"> In The Gambia, very little information </w:t>
      </w:r>
      <w:r w:rsidR="005C5E86">
        <w:t>exists</w:t>
      </w:r>
      <w:r w:rsidR="000D0A3E">
        <w:t xml:space="preserve"> for the distribution of aflatoxin producing fungi </w:t>
      </w:r>
      <w:r w:rsidR="000D0A3E">
        <w:lastRenderedPageBreak/>
        <w:t xml:space="preserve">in soils or crops. However, since The Gambia share </w:t>
      </w:r>
      <w:r w:rsidR="003B19E6">
        <w:t>similar climatic conditions and agricultural practices</w:t>
      </w:r>
      <w:r w:rsidR="003270FA">
        <w:t xml:space="preserve"> with Senegal</w:t>
      </w:r>
      <w:r w:rsidR="005C5E86">
        <w:t>,</w:t>
      </w:r>
      <w:r w:rsidR="003B19E6">
        <w:t xml:space="preserve"> </w:t>
      </w:r>
      <w:r w:rsidR="00DE6278">
        <w:t>the strain profiles and distribution of toxigenic species in both countries may be similar.</w:t>
      </w:r>
    </w:p>
    <w:p w14:paraId="210B586B" w14:textId="3A976F0C" w:rsidR="00231128" w:rsidRDefault="00F3637A" w:rsidP="00231128">
      <w:pPr>
        <w:spacing w:after="157" w:line="360" w:lineRule="auto"/>
        <w:jc w:val="both"/>
      </w:pPr>
      <w:r>
        <w:t xml:space="preserve">The fungus </w:t>
      </w:r>
      <w:r w:rsidR="00A97F01">
        <w:rPr>
          <w:i/>
          <w:iCs/>
        </w:rPr>
        <w:t xml:space="preserve">A. </w:t>
      </w:r>
      <w:r>
        <w:rPr>
          <w:i/>
          <w:iCs/>
        </w:rPr>
        <w:t>flavus</w:t>
      </w:r>
      <w:r>
        <w:t xml:space="preserve"> was detected in s</w:t>
      </w:r>
      <w:r w:rsidR="00425333">
        <w:t>oil samples collected from the NARI Experimental Station in the Western Region</w:t>
      </w:r>
      <w:r w:rsidR="00EC1B25">
        <w:t xml:space="preserve"> of The Gambia</w:t>
      </w:r>
      <w:r w:rsidR="008771F9">
        <w:t xml:space="preserve"> (</w:t>
      </w:r>
      <w:r w:rsidR="003A4BE3">
        <w:t xml:space="preserve">Darboe, </w:t>
      </w:r>
      <w:r w:rsidR="008B5131">
        <w:t>2010</w:t>
      </w:r>
      <w:r w:rsidR="003A4BE3">
        <w:t>, unpublished report</w:t>
      </w:r>
      <w:r w:rsidR="008771F9">
        <w:t>)</w:t>
      </w:r>
      <w:r>
        <w:t>. This was part of a trial</w:t>
      </w:r>
      <w:r w:rsidR="00544AC6">
        <w:t>/pilot study</w:t>
      </w:r>
      <w:r>
        <w:t xml:space="preserve"> </w:t>
      </w:r>
      <w:r w:rsidR="00C8652C">
        <w:t>to identify</w:t>
      </w:r>
      <w:r>
        <w:t xml:space="preserve"> the most resistant or tolerant variety of groundnut to </w:t>
      </w:r>
      <w:r>
        <w:rPr>
          <w:i/>
          <w:iCs/>
        </w:rPr>
        <w:t>Aspergillus</w:t>
      </w:r>
      <w:r>
        <w:t xml:space="preserve"> infection and aflatoxin contamination in The Gambia.</w:t>
      </w:r>
      <w:r w:rsidR="009B73E9">
        <w:t xml:space="preserve"> </w:t>
      </w:r>
      <w:r w:rsidR="00D63820" w:rsidRPr="00C906D3">
        <w:t>Diedhiou</w:t>
      </w:r>
      <w:r w:rsidR="00D63820">
        <w:t xml:space="preserve"> et al. (201</w:t>
      </w:r>
      <w:r w:rsidR="008610D3">
        <w:t>1</w:t>
      </w:r>
      <w:r w:rsidR="00D63820">
        <w:t xml:space="preserve">) reported the presence of </w:t>
      </w:r>
      <w:r w:rsidR="00D63820" w:rsidRPr="007E2B33">
        <w:rPr>
          <w:i/>
        </w:rPr>
        <w:t>Aspergillus</w:t>
      </w:r>
      <w:r w:rsidR="00D63820" w:rsidRPr="00B309AD">
        <w:t xml:space="preserve"> </w:t>
      </w:r>
      <w:r w:rsidR="00D63820">
        <w:t xml:space="preserve">section </w:t>
      </w:r>
      <w:r w:rsidR="00D63820" w:rsidRPr="007E2B33">
        <w:rPr>
          <w:i/>
        </w:rPr>
        <w:t>Flavi</w:t>
      </w:r>
      <w:r w:rsidR="00D63820" w:rsidRPr="00B309AD">
        <w:t xml:space="preserve"> (</w:t>
      </w:r>
      <w:r w:rsidR="00D63820" w:rsidRPr="0094607A">
        <w:rPr>
          <w:i/>
        </w:rPr>
        <w:t xml:space="preserve">A. </w:t>
      </w:r>
      <w:r w:rsidR="00D63820" w:rsidRPr="00122433">
        <w:rPr>
          <w:i/>
        </w:rPr>
        <w:t>ﬂavus</w:t>
      </w:r>
      <w:r w:rsidR="00D63820" w:rsidRPr="0094607A">
        <w:rPr>
          <w:i/>
        </w:rPr>
        <w:t xml:space="preserve">, A. </w:t>
      </w:r>
      <w:r w:rsidR="00D63820" w:rsidRPr="00122433">
        <w:rPr>
          <w:i/>
        </w:rPr>
        <w:t>tamarii</w:t>
      </w:r>
      <w:r w:rsidR="00D63820" w:rsidRPr="00B309AD">
        <w:t xml:space="preserve"> and the unnamed taxon S</w:t>
      </w:r>
      <w:r w:rsidR="00D63820" w:rsidRPr="0094607A">
        <w:rPr>
          <w:vertAlign w:val="subscript"/>
        </w:rPr>
        <w:t>BG</w:t>
      </w:r>
      <w:r w:rsidR="00D63820" w:rsidRPr="00B309AD">
        <w:t>) in two agro-ecological zones</w:t>
      </w:r>
      <w:r w:rsidR="00D63820">
        <w:t xml:space="preserve"> </w:t>
      </w:r>
      <w:r w:rsidR="007704D9">
        <w:t xml:space="preserve">in Senegal </w:t>
      </w:r>
      <w:r w:rsidR="00D63820">
        <w:t xml:space="preserve">similar to The Gambia, i.e. </w:t>
      </w:r>
      <w:r w:rsidR="00D63820" w:rsidRPr="00B309AD">
        <w:t xml:space="preserve">Guinea Savannah </w:t>
      </w:r>
      <w:r w:rsidR="00D63820">
        <w:t xml:space="preserve">and </w:t>
      </w:r>
      <w:r w:rsidR="00D63820" w:rsidRPr="00B309AD">
        <w:t>Sudan Savannah zone</w:t>
      </w:r>
      <w:r w:rsidR="00D63820">
        <w:t xml:space="preserve">s. </w:t>
      </w:r>
      <w:r w:rsidR="004C6510">
        <w:t>Of the aforementioned aflatoxin producing species, the S</w:t>
      </w:r>
      <w:r w:rsidR="004C6510" w:rsidRPr="0094607A">
        <w:rPr>
          <w:vertAlign w:val="subscript"/>
        </w:rPr>
        <w:t>BG</w:t>
      </w:r>
      <w:r w:rsidR="004C6510">
        <w:t xml:space="preserve"> happens to be the </w:t>
      </w:r>
      <w:r w:rsidR="00CB7E6C">
        <w:t>toxigenic member</w:t>
      </w:r>
      <w:r w:rsidR="00E43A40">
        <w:t xml:space="preserve"> of more importance due to their ability to produce copious amounts of both aflatoxins B and G.</w:t>
      </w:r>
      <w:r w:rsidR="004C6510">
        <w:t xml:space="preserve"> </w:t>
      </w:r>
      <w:r w:rsidR="00E11427">
        <w:t>This str</w:t>
      </w:r>
      <w:r w:rsidR="00C00E84">
        <w:t>ain, S</w:t>
      </w:r>
      <w:r w:rsidR="00C00E84" w:rsidRPr="0094607A">
        <w:rPr>
          <w:vertAlign w:val="subscript"/>
        </w:rPr>
        <w:t>BG</w:t>
      </w:r>
      <w:r w:rsidR="00C00E84">
        <w:t>, has been reported to be restricted/limited to countries in West Africa (Benin, Burkina Faso, Nigeria, Senegal, and Sierra-Leone) in a</w:t>
      </w:r>
      <w:r w:rsidR="009B73E9">
        <w:t xml:space="preserve"> study that </w:t>
      </w:r>
      <w:r w:rsidR="009F2286">
        <w:t>considered</w:t>
      </w:r>
      <w:r w:rsidR="009B73E9">
        <w:t xml:space="preserve"> the diversity of aflatoxin producing fungi and their impact on food safety in </w:t>
      </w:r>
      <w:r w:rsidR="007A6DEE">
        <w:t>sub-Saharan</w:t>
      </w:r>
      <w:r w:rsidR="009B73E9">
        <w:t xml:space="preserve"> Africa </w:t>
      </w:r>
      <w:r w:rsidR="009B73E9" w:rsidRPr="00D64083">
        <w:rPr>
          <w:iCs/>
        </w:rPr>
        <w:t xml:space="preserve"> (</w:t>
      </w:r>
      <w:r w:rsidR="009B73E9" w:rsidRPr="00D64083">
        <w:t>P</w:t>
      </w:r>
      <w:r w:rsidR="009B73E9">
        <w:t xml:space="preserve">robst, 2014). </w:t>
      </w:r>
      <w:r w:rsidR="007E2B33">
        <w:t>The ongoing exchanges of seeds</w:t>
      </w:r>
      <w:r w:rsidR="007A6DEE">
        <w:t>,</w:t>
      </w:r>
      <w:r w:rsidR="007E2B33">
        <w:t xml:space="preserve"> produ</w:t>
      </w:r>
      <w:r w:rsidR="0020181D">
        <w:t>ce</w:t>
      </w:r>
      <w:r w:rsidR="007A6DEE">
        <w:t>, products and by-products</w:t>
      </w:r>
      <w:r w:rsidR="0020181D">
        <w:t xml:space="preserve"> amon</w:t>
      </w:r>
      <w:r w:rsidR="007E2B33">
        <w:t xml:space="preserve">g farmers and traders of the two countries, and also </w:t>
      </w:r>
      <w:r w:rsidR="0020181D">
        <w:t xml:space="preserve">the weekly markets organised along borders of the two countries which are frequented by farmers and traders provide a conducive environment for strain </w:t>
      </w:r>
      <w:r w:rsidR="00FA7291">
        <w:t xml:space="preserve">transfer </w:t>
      </w:r>
      <w:r w:rsidR="0020181D">
        <w:t xml:space="preserve">across the borders. </w:t>
      </w:r>
    </w:p>
    <w:p w14:paraId="34077859" w14:textId="3C69F42D" w:rsidR="00231128" w:rsidRDefault="0009589A" w:rsidP="00231128">
      <w:pPr>
        <w:spacing w:after="157" w:line="360" w:lineRule="auto"/>
        <w:jc w:val="both"/>
      </w:pPr>
      <w:r>
        <w:t>In another ongoing effort (the aflasafe project) to characterize indigenous fungal populations in soil and mitigate aflatoxins in crops</w:t>
      </w:r>
      <w:r w:rsidR="00231128">
        <w:t xml:space="preserve">, soil samples were analysed </w:t>
      </w:r>
      <w:r w:rsidR="002777A5">
        <w:t xml:space="preserve">to determine the distribution of </w:t>
      </w:r>
      <w:r w:rsidR="00231128">
        <w:t xml:space="preserve"> </w:t>
      </w:r>
      <w:r w:rsidR="00231128" w:rsidRPr="0094607A">
        <w:rPr>
          <w:i/>
        </w:rPr>
        <w:t>Aspergillus</w:t>
      </w:r>
      <w:r w:rsidR="00231128">
        <w:t xml:space="preserve"> </w:t>
      </w:r>
      <w:r w:rsidR="002777A5">
        <w:t>species and their relationship</w:t>
      </w:r>
      <w:r w:rsidR="00231128">
        <w:t xml:space="preserve"> to aflatoxin </w:t>
      </w:r>
      <w:r w:rsidR="002777A5">
        <w:t xml:space="preserve">contamination in food by geographic location. </w:t>
      </w:r>
      <w:r w:rsidR="00682F44">
        <w:t>Strains from the soils have been selected as potential biocontrol (aflasafe SN01®) for further field efficacy</w:t>
      </w:r>
      <w:r w:rsidR="00231128">
        <w:t xml:space="preserve"> trials </w:t>
      </w:r>
      <w:r w:rsidR="00982115">
        <w:t>but the results are yet to be published.</w:t>
      </w:r>
    </w:p>
    <w:p w14:paraId="7B8042A9" w14:textId="4B4BBFBC" w:rsidR="00E61D71" w:rsidRPr="0094607A" w:rsidRDefault="002A3F9B" w:rsidP="0048674B">
      <w:pPr>
        <w:spacing w:after="0" w:line="480" w:lineRule="auto"/>
        <w:jc w:val="both"/>
        <w:rPr>
          <w:rFonts w:eastAsia="Calibri"/>
          <w:b/>
        </w:rPr>
      </w:pPr>
      <w:r w:rsidRPr="0094607A">
        <w:rPr>
          <w:b/>
        </w:rPr>
        <w:t>5</w:t>
      </w:r>
      <w:r w:rsidR="002D4A16" w:rsidRPr="0094607A">
        <w:rPr>
          <w:b/>
        </w:rPr>
        <w:t xml:space="preserve">.1 </w:t>
      </w:r>
      <w:r w:rsidR="00573E53" w:rsidRPr="0094607A">
        <w:rPr>
          <w:b/>
        </w:rPr>
        <w:t>Direct e</w:t>
      </w:r>
      <w:r w:rsidR="00E61D71" w:rsidRPr="0094607A">
        <w:rPr>
          <w:b/>
        </w:rPr>
        <w:t xml:space="preserve">vidence of </w:t>
      </w:r>
      <w:r w:rsidR="00573E53" w:rsidRPr="0094607A">
        <w:rPr>
          <w:b/>
        </w:rPr>
        <w:t>aflatoxin p</w:t>
      </w:r>
      <w:r w:rsidR="00E61D71" w:rsidRPr="0094607A">
        <w:rPr>
          <w:b/>
        </w:rPr>
        <w:t>revalence</w:t>
      </w:r>
      <w:r w:rsidR="00E61D71" w:rsidRPr="0094607A">
        <w:rPr>
          <w:rFonts w:eastAsia="Calibri"/>
          <w:b/>
        </w:rPr>
        <w:t xml:space="preserve"> </w:t>
      </w:r>
    </w:p>
    <w:p w14:paraId="42AB11A9" w14:textId="55A828E8" w:rsidR="00890AE0" w:rsidRDefault="002A3F9B" w:rsidP="0048674B">
      <w:pPr>
        <w:pStyle w:val="Heading3"/>
        <w:spacing w:line="480" w:lineRule="auto"/>
        <w:jc w:val="both"/>
        <w:rPr>
          <w:rFonts w:eastAsia="Calibri"/>
        </w:rPr>
      </w:pPr>
      <w:bookmarkStart w:id="9" w:name="_Toc427672746"/>
      <w:r>
        <w:rPr>
          <w:rFonts w:eastAsia="Calibri"/>
        </w:rPr>
        <w:t>5</w:t>
      </w:r>
      <w:r w:rsidR="002D4A16" w:rsidRPr="00573E53">
        <w:rPr>
          <w:rFonts w:eastAsia="Calibri"/>
        </w:rPr>
        <w:t xml:space="preserve">.1.1 </w:t>
      </w:r>
      <w:r w:rsidR="00C23B29" w:rsidRPr="00573E53">
        <w:rPr>
          <w:rFonts w:eastAsia="Calibri"/>
        </w:rPr>
        <w:t xml:space="preserve">Direct evidence of aflatoxin </w:t>
      </w:r>
      <w:r w:rsidR="00D61E2D">
        <w:rPr>
          <w:rFonts w:eastAsia="Calibri"/>
        </w:rPr>
        <w:t xml:space="preserve">contamination </w:t>
      </w:r>
      <w:r w:rsidR="00C23B29" w:rsidRPr="00573E53">
        <w:rPr>
          <w:rFonts w:eastAsia="Calibri"/>
        </w:rPr>
        <w:t>in groundnut and groundnut products</w:t>
      </w:r>
      <w:bookmarkEnd w:id="9"/>
    </w:p>
    <w:p w14:paraId="1AF3C082" w14:textId="0B9367F5" w:rsidR="002A3F9B" w:rsidRDefault="00890AE0" w:rsidP="003E36F3">
      <w:pPr>
        <w:spacing w:after="44" w:line="360" w:lineRule="auto"/>
        <w:jc w:val="both"/>
      </w:pPr>
      <w:r>
        <w:rPr>
          <w:rFonts w:eastAsia="Calibri"/>
        </w:rPr>
        <w:t xml:space="preserve">The </w:t>
      </w:r>
      <w:r w:rsidR="007A6DEE">
        <w:rPr>
          <w:rFonts w:eastAsia="Calibri"/>
        </w:rPr>
        <w:t xml:space="preserve">data on the </w:t>
      </w:r>
      <w:r>
        <w:rPr>
          <w:rFonts w:eastAsia="Calibri"/>
        </w:rPr>
        <w:t xml:space="preserve">occurrence of aflatoxin in groundnut </w:t>
      </w:r>
      <w:r w:rsidR="007A6DEE">
        <w:rPr>
          <w:rFonts w:eastAsia="Calibri"/>
        </w:rPr>
        <w:t xml:space="preserve">in this assessment </w:t>
      </w:r>
      <w:r w:rsidR="000B6FAE">
        <w:rPr>
          <w:rFonts w:eastAsia="Calibri"/>
        </w:rPr>
        <w:t xml:space="preserve">were </w:t>
      </w:r>
      <w:r w:rsidR="00454B1A">
        <w:rPr>
          <w:rFonts w:eastAsia="Calibri"/>
        </w:rPr>
        <w:t xml:space="preserve">obtained from two sources, </w:t>
      </w:r>
      <w:r w:rsidR="00C23B29">
        <w:rPr>
          <w:rFonts w:eastAsia="Calibri"/>
        </w:rPr>
        <w:t xml:space="preserve">The Gambia </w:t>
      </w:r>
      <w:r w:rsidR="00EE1327">
        <w:rPr>
          <w:rFonts w:eastAsia="Calibri"/>
        </w:rPr>
        <w:t>A</w:t>
      </w:r>
      <w:r w:rsidR="000B6FAE">
        <w:rPr>
          <w:rFonts w:eastAsia="Calibri"/>
        </w:rPr>
        <w:t xml:space="preserve">flasafe </w:t>
      </w:r>
      <w:r w:rsidR="00C23B29">
        <w:rPr>
          <w:rFonts w:eastAsia="Calibri"/>
        </w:rPr>
        <w:t>programme</w:t>
      </w:r>
      <w:r w:rsidR="00454B1A">
        <w:rPr>
          <w:rFonts w:eastAsia="Calibri"/>
        </w:rPr>
        <w:t xml:space="preserve"> (which has not</w:t>
      </w:r>
      <w:r w:rsidR="000B6FAE">
        <w:rPr>
          <w:rFonts w:eastAsia="Calibri"/>
        </w:rPr>
        <w:t xml:space="preserve"> yet</w:t>
      </w:r>
      <w:r w:rsidR="00454B1A">
        <w:rPr>
          <w:rFonts w:eastAsia="Calibri"/>
        </w:rPr>
        <w:t xml:space="preserve"> been </w:t>
      </w:r>
      <w:r>
        <w:rPr>
          <w:rFonts w:eastAsia="Calibri"/>
        </w:rPr>
        <w:t>officially published</w:t>
      </w:r>
      <w:r w:rsidR="00454B1A">
        <w:rPr>
          <w:rFonts w:eastAsia="Calibri"/>
        </w:rPr>
        <w:t>) and the EU Rapid Alert System for Food and Feed</w:t>
      </w:r>
      <w:r>
        <w:rPr>
          <w:rFonts w:eastAsia="Calibri"/>
        </w:rPr>
        <w:t>. T</w:t>
      </w:r>
      <w:r w:rsidRPr="00890AE0">
        <w:rPr>
          <w:rFonts w:eastAsia="Calibri"/>
        </w:rPr>
        <w:t>he National Agricultural Research Institute (NARI), the Depar</w:t>
      </w:r>
      <w:r w:rsidR="00777BB2">
        <w:rPr>
          <w:rFonts w:eastAsia="Calibri"/>
        </w:rPr>
        <w:t>tment of Agriculture (DOA)</w:t>
      </w:r>
      <w:r w:rsidR="00EE1327">
        <w:rPr>
          <w:rFonts w:eastAsia="Calibri"/>
        </w:rPr>
        <w:t xml:space="preserve"> under the Ministry of Agriculture</w:t>
      </w:r>
      <w:r w:rsidR="00777BB2">
        <w:rPr>
          <w:rFonts w:eastAsia="Calibri"/>
        </w:rPr>
        <w:t xml:space="preserve"> and The Gambia Groundnut Cor</w:t>
      </w:r>
      <w:r w:rsidRPr="00890AE0">
        <w:rPr>
          <w:rFonts w:eastAsia="Calibri"/>
        </w:rPr>
        <w:t>p</w:t>
      </w:r>
      <w:r w:rsidR="00777BB2">
        <w:rPr>
          <w:rFonts w:eastAsia="Calibri"/>
        </w:rPr>
        <w:t>o</w:t>
      </w:r>
      <w:r w:rsidRPr="00890AE0">
        <w:rPr>
          <w:rFonts w:eastAsia="Calibri"/>
        </w:rPr>
        <w:t>ration (GGC)</w:t>
      </w:r>
      <w:r w:rsidR="002D1082">
        <w:rPr>
          <w:rFonts w:eastAsia="Calibri"/>
        </w:rPr>
        <w:t>, the FSQA</w:t>
      </w:r>
      <w:r w:rsidRPr="00890AE0">
        <w:rPr>
          <w:rFonts w:eastAsia="Calibri"/>
        </w:rPr>
        <w:t xml:space="preserve"> </w:t>
      </w:r>
      <w:r w:rsidR="003E36F3">
        <w:rPr>
          <w:rFonts w:eastAsia="Calibri"/>
        </w:rPr>
        <w:t xml:space="preserve">in </w:t>
      </w:r>
      <w:r w:rsidRPr="00890AE0">
        <w:rPr>
          <w:rFonts w:eastAsia="Calibri"/>
        </w:rPr>
        <w:t>collaborat</w:t>
      </w:r>
      <w:r w:rsidR="003E36F3">
        <w:rPr>
          <w:rFonts w:eastAsia="Calibri"/>
        </w:rPr>
        <w:t>ion</w:t>
      </w:r>
      <w:r w:rsidRPr="00890AE0">
        <w:rPr>
          <w:rFonts w:eastAsia="Calibri"/>
        </w:rPr>
        <w:t xml:space="preserve"> with </w:t>
      </w:r>
      <w:r w:rsidR="00777BB2">
        <w:rPr>
          <w:rFonts w:eastAsia="Calibri"/>
        </w:rPr>
        <w:t>the International Institute for Tropical Agriculture (</w:t>
      </w:r>
      <w:r w:rsidRPr="00890AE0">
        <w:rPr>
          <w:rFonts w:eastAsia="Calibri"/>
        </w:rPr>
        <w:t>IITA</w:t>
      </w:r>
      <w:r w:rsidR="00777BB2">
        <w:rPr>
          <w:rFonts w:eastAsia="Calibri"/>
        </w:rPr>
        <w:t>)</w:t>
      </w:r>
      <w:r w:rsidRPr="00890AE0">
        <w:rPr>
          <w:rFonts w:eastAsia="Calibri"/>
        </w:rPr>
        <w:t xml:space="preserve"> </w:t>
      </w:r>
      <w:r w:rsidR="004E5FF6">
        <w:rPr>
          <w:rFonts w:eastAsia="Calibri"/>
        </w:rPr>
        <w:t xml:space="preserve">in Nigeria </w:t>
      </w:r>
      <w:r w:rsidRPr="00890AE0">
        <w:rPr>
          <w:rFonts w:eastAsia="Calibri"/>
        </w:rPr>
        <w:t xml:space="preserve">and Direction de la </w:t>
      </w:r>
      <w:r w:rsidR="00EE1327">
        <w:rPr>
          <w:rFonts w:eastAsia="Calibri"/>
        </w:rPr>
        <w:t>P</w:t>
      </w:r>
      <w:r w:rsidRPr="00890AE0">
        <w:rPr>
          <w:rFonts w:eastAsia="Calibri"/>
        </w:rPr>
        <w:t xml:space="preserve">rotection des </w:t>
      </w:r>
      <w:r w:rsidR="00EE1327">
        <w:rPr>
          <w:rFonts w:eastAsia="Calibri"/>
        </w:rPr>
        <w:t>V</w:t>
      </w:r>
      <w:r w:rsidRPr="00890AE0">
        <w:rPr>
          <w:rFonts w:eastAsia="Calibri"/>
        </w:rPr>
        <w:t>egetaux (DPV) in Senegal</w:t>
      </w:r>
      <w:r w:rsidR="003E36F3">
        <w:rPr>
          <w:rFonts w:eastAsia="Calibri"/>
        </w:rPr>
        <w:t xml:space="preserve">, are </w:t>
      </w:r>
      <w:r w:rsidR="007A6DEE">
        <w:rPr>
          <w:rFonts w:eastAsia="Calibri"/>
        </w:rPr>
        <w:t>involved in the implementation of</w:t>
      </w:r>
      <w:r w:rsidR="003E36F3">
        <w:rPr>
          <w:rFonts w:eastAsia="Calibri"/>
        </w:rPr>
        <w:t xml:space="preserve"> the </w:t>
      </w:r>
      <w:r w:rsidR="00EE1327">
        <w:rPr>
          <w:rFonts w:eastAsia="Calibri"/>
        </w:rPr>
        <w:t>A</w:t>
      </w:r>
      <w:r w:rsidR="000B6FAE">
        <w:rPr>
          <w:rFonts w:eastAsia="Calibri"/>
        </w:rPr>
        <w:t xml:space="preserve">flasafe </w:t>
      </w:r>
      <w:r w:rsidR="003E36F3">
        <w:rPr>
          <w:rFonts w:eastAsia="Calibri"/>
        </w:rPr>
        <w:t xml:space="preserve">programme in The Gambia. </w:t>
      </w:r>
      <w:r w:rsidR="00E61D71" w:rsidRPr="009231BB">
        <w:t xml:space="preserve">Groundnut samples </w:t>
      </w:r>
      <w:r w:rsidR="004A4418">
        <w:t>were</w:t>
      </w:r>
      <w:r w:rsidR="003E36F3">
        <w:t xml:space="preserve"> </w:t>
      </w:r>
      <w:r w:rsidR="00E61D71" w:rsidRPr="009231BB">
        <w:t xml:space="preserve">collected from </w:t>
      </w:r>
      <w:r w:rsidR="003A4BE3">
        <w:t xml:space="preserve">groundnut </w:t>
      </w:r>
      <w:r w:rsidR="00E61D71" w:rsidRPr="009231BB">
        <w:t>buying points</w:t>
      </w:r>
      <w:r w:rsidR="004A4418">
        <w:t xml:space="preserve"> (Secco)</w:t>
      </w:r>
      <w:r w:rsidR="00E61D71" w:rsidRPr="009231BB">
        <w:t xml:space="preserve"> in 2</w:t>
      </w:r>
      <w:r w:rsidR="00FE6E23">
        <w:t>8</w:t>
      </w:r>
      <w:r w:rsidR="00E61D71" w:rsidRPr="009231BB">
        <w:t xml:space="preserve"> villages </w:t>
      </w:r>
      <w:r w:rsidR="00FA1CA5">
        <w:t xml:space="preserve">across the country </w:t>
      </w:r>
      <w:r w:rsidR="003E36F3">
        <w:t>and</w:t>
      </w:r>
      <w:r w:rsidR="00E61D71" w:rsidRPr="009231BB">
        <w:t xml:space="preserve"> analysed for aflatoxin contamination</w:t>
      </w:r>
      <w:r w:rsidR="003E36F3">
        <w:t xml:space="preserve"> at IITA</w:t>
      </w:r>
      <w:r w:rsidR="00E61D71" w:rsidRPr="009231BB">
        <w:t>. The unpublished dat</w:t>
      </w:r>
      <w:r w:rsidR="007F759D">
        <w:t>a (Table 1) show that percent</w:t>
      </w:r>
      <w:r w:rsidR="00CB5ACD">
        <w:t xml:space="preserve"> </w:t>
      </w:r>
      <w:r w:rsidR="007F759D">
        <w:t xml:space="preserve">samples with detectable aflatoxin range from 30 in Lower </w:t>
      </w:r>
      <w:r w:rsidR="007F759D">
        <w:lastRenderedPageBreak/>
        <w:t>River Region to 75 in Upper River Region –North. West Coast Region has the highest mean aflatoxin B</w:t>
      </w:r>
      <w:r w:rsidR="007F759D" w:rsidRPr="007F759D">
        <w:rPr>
          <w:vertAlign w:val="subscript"/>
        </w:rPr>
        <w:t>1</w:t>
      </w:r>
      <w:r w:rsidR="007F759D">
        <w:t xml:space="preserve"> level (170.06</w:t>
      </w:r>
      <w:r w:rsidR="008668F0">
        <w:t xml:space="preserve"> ppb) whilst Lower River Region has the lowest (2.19 ppb).</w:t>
      </w:r>
      <w:r w:rsidR="007F759D">
        <w:t xml:space="preserve"> </w:t>
      </w:r>
      <w:r w:rsidR="008668F0">
        <w:t xml:space="preserve"> The highest mean total aflatoxins were recorded in West Coast Region (267.87 ppb) and the lowest (2.78 ppb) in Lower River Region. </w:t>
      </w:r>
      <w:r w:rsidR="00DA5B4E">
        <w:t>All the samples in North Bank Region exceeded the maximum limit for total aflatoxins while only 15% of samples from Lower River Region exceeded the maximum limit.</w:t>
      </w:r>
    </w:p>
    <w:p w14:paraId="17C1F0F4" w14:textId="77777777" w:rsidR="008668F0" w:rsidRDefault="008668F0" w:rsidP="003E36F3">
      <w:pPr>
        <w:spacing w:after="44" w:line="360" w:lineRule="auto"/>
        <w:jc w:val="both"/>
      </w:pPr>
    </w:p>
    <w:p w14:paraId="13E41382" w14:textId="48A598F5" w:rsidR="00491542" w:rsidRDefault="00E61D71" w:rsidP="00B4040E">
      <w:pPr>
        <w:spacing w:after="0" w:line="480" w:lineRule="auto"/>
        <w:ind w:left="0" w:firstLine="0"/>
        <w:jc w:val="both"/>
      </w:pPr>
      <w:r w:rsidRPr="009231BB">
        <w:t xml:space="preserve">Table 1: Occurrence of </w:t>
      </w:r>
      <w:r w:rsidR="00BE76DC">
        <w:t>a</w:t>
      </w:r>
      <w:r w:rsidRPr="009231BB">
        <w:t>flatoxin</w:t>
      </w:r>
      <w:r w:rsidR="00BE76DC">
        <w:t>s</w:t>
      </w:r>
      <w:r w:rsidRPr="009231BB">
        <w:t xml:space="preserve"> in groundnut</w:t>
      </w:r>
      <w:r w:rsidR="00BE76DC">
        <w:t xml:space="preserve"> in The Gambia</w:t>
      </w:r>
      <w:r w:rsidR="002D1082">
        <w:t>.</w:t>
      </w:r>
    </w:p>
    <w:tbl>
      <w:tblPr>
        <w:tblStyle w:val="TableGrid0"/>
        <w:tblW w:w="9684" w:type="dxa"/>
        <w:jc w:val="center"/>
        <w:tblLook w:val="04A0" w:firstRow="1" w:lastRow="0" w:firstColumn="1" w:lastColumn="0" w:noHBand="0" w:noVBand="1"/>
      </w:tblPr>
      <w:tblGrid>
        <w:gridCol w:w="2116"/>
        <w:gridCol w:w="450"/>
        <w:gridCol w:w="1170"/>
        <w:gridCol w:w="1437"/>
        <w:gridCol w:w="821"/>
        <w:gridCol w:w="1170"/>
        <w:gridCol w:w="1170"/>
        <w:gridCol w:w="1350"/>
      </w:tblGrid>
      <w:tr w:rsidR="00810271" w:rsidRPr="00854966" w14:paraId="77E3DD4B" w14:textId="77777777" w:rsidTr="00693E2C">
        <w:trPr>
          <w:jc w:val="center"/>
        </w:trPr>
        <w:tc>
          <w:tcPr>
            <w:tcW w:w="2116" w:type="dxa"/>
            <w:vMerge w:val="restart"/>
          </w:tcPr>
          <w:p w14:paraId="5A8115F0" w14:textId="4894B9E8" w:rsidR="000A0476" w:rsidRPr="00854966" w:rsidRDefault="000A0476" w:rsidP="00B4040E">
            <w:pPr>
              <w:spacing w:after="157" w:line="276" w:lineRule="auto"/>
              <w:ind w:left="0"/>
              <w:jc w:val="both"/>
              <w:rPr>
                <w:b/>
              </w:rPr>
            </w:pPr>
            <w:r w:rsidRPr="00854966">
              <w:rPr>
                <w:b/>
              </w:rPr>
              <w:t>Regions</w:t>
            </w:r>
          </w:p>
        </w:tc>
        <w:tc>
          <w:tcPr>
            <w:tcW w:w="450" w:type="dxa"/>
            <w:vMerge w:val="restart"/>
          </w:tcPr>
          <w:p w14:paraId="25338D01" w14:textId="7CFB189C" w:rsidR="000A0476" w:rsidRPr="00854966" w:rsidRDefault="000A0476" w:rsidP="00B4040E">
            <w:pPr>
              <w:spacing w:after="157" w:line="276" w:lineRule="auto"/>
              <w:ind w:left="0"/>
              <w:jc w:val="center"/>
              <w:rPr>
                <w:b/>
              </w:rPr>
            </w:pPr>
            <w:r>
              <w:rPr>
                <w:b/>
              </w:rPr>
              <w:t>N</w:t>
            </w:r>
          </w:p>
        </w:tc>
        <w:tc>
          <w:tcPr>
            <w:tcW w:w="1170" w:type="dxa"/>
            <w:vMerge w:val="restart"/>
          </w:tcPr>
          <w:p w14:paraId="45B519A8" w14:textId="7B0AD23D" w:rsidR="000A0476" w:rsidRPr="00854966" w:rsidRDefault="000A0476" w:rsidP="00B4040E">
            <w:pPr>
              <w:spacing w:after="157" w:line="276" w:lineRule="auto"/>
              <w:ind w:left="0"/>
              <w:jc w:val="center"/>
              <w:rPr>
                <w:b/>
              </w:rPr>
            </w:pPr>
            <w:r>
              <w:rPr>
                <w:b/>
              </w:rPr>
              <w:t>Samples with detectable aflatoxins (%)</w:t>
            </w:r>
          </w:p>
        </w:tc>
        <w:tc>
          <w:tcPr>
            <w:tcW w:w="5948" w:type="dxa"/>
            <w:gridSpan w:val="5"/>
          </w:tcPr>
          <w:p w14:paraId="0150128A" w14:textId="48AE44AE" w:rsidR="000A0476" w:rsidRPr="00854966" w:rsidRDefault="006735D3" w:rsidP="00B4040E">
            <w:pPr>
              <w:spacing w:after="157" w:line="276" w:lineRule="auto"/>
              <w:ind w:left="0" w:firstLine="0"/>
              <w:jc w:val="center"/>
              <w:rPr>
                <w:b/>
              </w:rPr>
            </w:pPr>
            <w:r>
              <w:rPr>
                <w:b/>
              </w:rPr>
              <w:t>Aflatoxin concentrations (ppb)</w:t>
            </w:r>
          </w:p>
        </w:tc>
      </w:tr>
      <w:tr w:rsidR="00693E2C" w:rsidRPr="00854966" w14:paraId="33796A4E" w14:textId="77777777" w:rsidTr="00693E2C">
        <w:trPr>
          <w:jc w:val="center"/>
        </w:trPr>
        <w:tc>
          <w:tcPr>
            <w:tcW w:w="2116" w:type="dxa"/>
            <w:vMerge/>
          </w:tcPr>
          <w:p w14:paraId="7BAD8A0B" w14:textId="58301B50" w:rsidR="000A0476" w:rsidRPr="00854966" w:rsidRDefault="000A0476" w:rsidP="00B4040E">
            <w:pPr>
              <w:spacing w:after="157" w:line="276" w:lineRule="auto"/>
              <w:ind w:left="0" w:firstLine="0"/>
              <w:jc w:val="both"/>
              <w:rPr>
                <w:b/>
              </w:rPr>
            </w:pPr>
          </w:p>
        </w:tc>
        <w:tc>
          <w:tcPr>
            <w:tcW w:w="450" w:type="dxa"/>
            <w:vMerge/>
          </w:tcPr>
          <w:p w14:paraId="4B95C0B5" w14:textId="69304CB1" w:rsidR="000A0476" w:rsidRPr="00854966" w:rsidRDefault="000A0476" w:rsidP="00B4040E">
            <w:pPr>
              <w:spacing w:after="157" w:line="276" w:lineRule="auto"/>
              <w:ind w:left="0" w:firstLine="0"/>
              <w:jc w:val="center"/>
              <w:rPr>
                <w:b/>
              </w:rPr>
            </w:pPr>
          </w:p>
        </w:tc>
        <w:tc>
          <w:tcPr>
            <w:tcW w:w="1170" w:type="dxa"/>
            <w:vMerge/>
          </w:tcPr>
          <w:p w14:paraId="4B0EAB35" w14:textId="4F9AA723" w:rsidR="000A0476" w:rsidRPr="00854966" w:rsidRDefault="000A0476" w:rsidP="00B4040E">
            <w:pPr>
              <w:spacing w:after="157" w:line="276" w:lineRule="auto"/>
              <w:ind w:left="0" w:firstLine="0"/>
              <w:jc w:val="center"/>
              <w:rPr>
                <w:b/>
              </w:rPr>
            </w:pPr>
          </w:p>
        </w:tc>
        <w:tc>
          <w:tcPr>
            <w:tcW w:w="1437" w:type="dxa"/>
          </w:tcPr>
          <w:p w14:paraId="0CCAE6B9" w14:textId="160C7FBB" w:rsidR="000A0476" w:rsidRPr="00854966" w:rsidRDefault="000A0476" w:rsidP="00B4040E">
            <w:pPr>
              <w:spacing w:after="157" w:line="276" w:lineRule="auto"/>
              <w:ind w:left="0" w:firstLine="0"/>
              <w:jc w:val="center"/>
              <w:rPr>
                <w:b/>
              </w:rPr>
            </w:pPr>
            <w:r>
              <w:rPr>
                <w:b/>
              </w:rPr>
              <w:t xml:space="preserve">Range of </w:t>
            </w:r>
            <w:r w:rsidRPr="00854966">
              <w:rPr>
                <w:b/>
              </w:rPr>
              <w:t>A</w:t>
            </w:r>
            <w:r>
              <w:rPr>
                <w:b/>
              </w:rPr>
              <w:t>F</w:t>
            </w:r>
            <w:r w:rsidRPr="00854966">
              <w:rPr>
                <w:b/>
              </w:rPr>
              <w:t>B</w:t>
            </w:r>
            <w:r>
              <w:rPr>
                <w:b/>
                <w:vertAlign w:val="subscript"/>
              </w:rPr>
              <w:t>1</w:t>
            </w:r>
          </w:p>
        </w:tc>
        <w:tc>
          <w:tcPr>
            <w:tcW w:w="821" w:type="dxa"/>
          </w:tcPr>
          <w:p w14:paraId="5F021235" w14:textId="6540F0BC" w:rsidR="000A0476" w:rsidRPr="00854966" w:rsidRDefault="000A0476" w:rsidP="00B4040E">
            <w:pPr>
              <w:spacing w:after="157" w:line="276" w:lineRule="auto"/>
              <w:ind w:left="0" w:firstLine="0"/>
              <w:jc w:val="center"/>
              <w:rPr>
                <w:b/>
              </w:rPr>
            </w:pPr>
            <w:r>
              <w:rPr>
                <w:b/>
              </w:rPr>
              <w:t xml:space="preserve">Mean </w:t>
            </w:r>
            <w:r w:rsidRPr="00854966">
              <w:rPr>
                <w:b/>
              </w:rPr>
              <w:t>A</w:t>
            </w:r>
            <w:r>
              <w:rPr>
                <w:b/>
              </w:rPr>
              <w:t>F</w:t>
            </w:r>
            <w:r w:rsidRPr="00854966">
              <w:rPr>
                <w:b/>
              </w:rPr>
              <w:t>B</w:t>
            </w:r>
            <w:r>
              <w:rPr>
                <w:b/>
                <w:vertAlign w:val="subscript"/>
              </w:rPr>
              <w:t>1</w:t>
            </w:r>
          </w:p>
        </w:tc>
        <w:tc>
          <w:tcPr>
            <w:tcW w:w="1170" w:type="dxa"/>
          </w:tcPr>
          <w:p w14:paraId="6D8174A3" w14:textId="562E9092" w:rsidR="000A0476" w:rsidRPr="007A2D87" w:rsidRDefault="001A6500" w:rsidP="00B4040E">
            <w:pPr>
              <w:spacing w:after="157" w:line="276" w:lineRule="auto"/>
              <w:ind w:left="0" w:firstLine="0"/>
              <w:jc w:val="center"/>
              <w:rPr>
                <w:b/>
              </w:rPr>
            </w:pPr>
            <w:r>
              <w:rPr>
                <w:b/>
              </w:rPr>
              <w:t>S</w:t>
            </w:r>
            <w:r w:rsidR="000A0476">
              <w:rPr>
                <w:b/>
              </w:rPr>
              <w:t xml:space="preserve">amples exceeding maximum limit for </w:t>
            </w:r>
            <w:r w:rsidR="000A0476" w:rsidRPr="00854966">
              <w:rPr>
                <w:b/>
              </w:rPr>
              <w:t>A</w:t>
            </w:r>
            <w:r w:rsidR="000A0476">
              <w:rPr>
                <w:b/>
              </w:rPr>
              <w:t>F</w:t>
            </w:r>
            <w:r w:rsidR="000A0476" w:rsidRPr="00854966">
              <w:rPr>
                <w:b/>
              </w:rPr>
              <w:t>B</w:t>
            </w:r>
            <w:r w:rsidR="000A0476">
              <w:rPr>
                <w:b/>
                <w:vertAlign w:val="subscript"/>
              </w:rPr>
              <w:t>1</w:t>
            </w:r>
            <w:r w:rsidR="007A2D87">
              <w:rPr>
                <w:b/>
              </w:rPr>
              <w:t xml:space="preserve"> (%)</w:t>
            </w:r>
          </w:p>
        </w:tc>
        <w:tc>
          <w:tcPr>
            <w:tcW w:w="1170" w:type="dxa"/>
          </w:tcPr>
          <w:p w14:paraId="1A6474F2" w14:textId="28AE959E" w:rsidR="000A0476" w:rsidRPr="00854966" w:rsidDel="00BB5006" w:rsidRDefault="000A0476" w:rsidP="00B4040E">
            <w:pPr>
              <w:spacing w:after="157" w:line="276" w:lineRule="auto"/>
              <w:ind w:left="0" w:firstLine="0"/>
              <w:jc w:val="center"/>
              <w:rPr>
                <w:b/>
              </w:rPr>
            </w:pPr>
            <w:r>
              <w:rPr>
                <w:b/>
              </w:rPr>
              <w:t>Mean of total aflatoxins</w:t>
            </w:r>
          </w:p>
        </w:tc>
        <w:tc>
          <w:tcPr>
            <w:tcW w:w="1350" w:type="dxa"/>
          </w:tcPr>
          <w:p w14:paraId="1AE738C4" w14:textId="4A345F08" w:rsidR="000A0476" w:rsidRPr="00854966" w:rsidDel="00BB5006" w:rsidRDefault="001A6500" w:rsidP="00B4040E">
            <w:pPr>
              <w:spacing w:after="157" w:line="276" w:lineRule="auto"/>
              <w:ind w:left="0" w:firstLine="0"/>
              <w:jc w:val="center"/>
              <w:rPr>
                <w:b/>
              </w:rPr>
            </w:pPr>
            <w:r>
              <w:rPr>
                <w:b/>
              </w:rPr>
              <w:t>S</w:t>
            </w:r>
            <w:r w:rsidR="000A0476">
              <w:rPr>
                <w:b/>
              </w:rPr>
              <w:t>amples exceeding maximum limit for total aflatoxins</w:t>
            </w:r>
            <w:r w:rsidR="007A2D87">
              <w:rPr>
                <w:b/>
              </w:rPr>
              <w:t xml:space="preserve"> (%)</w:t>
            </w:r>
          </w:p>
        </w:tc>
      </w:tr>
      <w:tr w:rsidR="00693E2C" w:rsidRPr="00854966" w14:paraId="0A6DBD43" w14:textId="77777777" w:rsidTr="00693E2C">
        <w:trPr>
          <w:jc w:val="center"/>
        </w:trPr>
        <w:tc>
          <w:tcPr>
            <w:tcW w:w="2116" w:type="dxa"/>
            <w:vAlign w:val="center"/>
          </w:tcPr>
          <w:p w14:paraId="53F00787" w14:textId="77777777" w:rsidR="00A71D1D" w:rsidRPr="00854966" w:rsidRDefault="00A71D1D" w:rsidP="00B4040E">
            <w:pPr>
              <w:spacing w:after="157" w:line="276" w:lineRule="auto"/>
              <w:ind w:left="0" w:firstLine="0"/>
              <w:jc w:val="both"/>
            </w:pPr>
            <w:r w:rsidRPr="00854966">
              <w:t>West Coast</w:t>
            </w:r>
          </w:p>
        </w:tc>
        <w:tc>
          <w:tcPr>
            <w:tcW w:w="450" w:type="dxa"/>
            <w:vAlign w:val="center"/>
          </w:tcPr>
          <w:p w14:paraId="3A5DB40A" w14:textId="77777777" w:rsidR="00A71D1D" w:rsidRPr="00854966" w:rsidRDefault="00A71D1D" w:rsidP="00B4040E">
            <w:pPr>
              <w:spacing w:after="157" w:line="276" w:lineRule="auto"/>
              <w:ind w:left="0" w:firstLine="0"/>
              <w:jc w:val="right"/>
            </w:pPr>
            <w:r w:rsidRPr="00854966">
              <w:t>20</w:t>
            </w:r>
          </w:p>
        </w:tc>
        <w:tc>
          <w:tcPr>
            <w:tcW w:w="1170" w:type="dxa"/>
            <w:vAlign w:val="center"/>
          </w:tcPr>
          <w:p w14:paraId="37D0AFFC" w14:textId="52342079" w:rsidR="00A71D1D" w:rsidRPr="00854966" w:rsidRDefault="0056531B" w:rsidP="00B4040E">
            <w:pPr>
              <w:spacing w:after="157" w:line="276" w:lineRule="auto"/>
              <w:ind w:left="0" w:firstLine="0"/>
              <w:jc w:val="right"/>
            </w:pPr>
            <w:r>
              <w:t>65</w:t>
            </w:r>
          </w:p>
        </w:tc>
        <w:tc>
          <w:tcPr>
            <w:tcW w:w="1437" w:type="dxa"/>
            <w:vAlign w:val="center"/>
          </w:tcPr>
          <w:p w14:paraId="5BFC33E8" w14:textId="189C3D5A" w:rsidR="00A71D1D" w:rsidRPr="00854966" w:rsidRDefault="00911488" w:rsidP="00B4040E">
            <w:pPr>
              <w:spacing w:after="157" w:line="276" w:lineRule="auto"/>
              <w:ind w:left="0" w:firstLine="0"/>
              <w:jc w:val="right"/>
            </w:pPr>
            <w:r>
              <w:t>1.6–</w:t>
            </w:r>
            <w:r w:rsidR="0056531B">
              <w:t>1189</w:t>
            </w:r>
          </w:p>
        </w:tc>
        <w:tc>
          <w:tcPr>
            <w:tcW w:w="821" w:type="dxa"/>
            <w:vAlign w:val="center"/>
          </w:tcPr>
          <w:p w14:paraId="7560318E" w14:textId="118268F5" w:rsidR="00A71D1D" w:rsidRPr="00854966" w:rsidRDefault="00A71D1D" w:rsidP="00B4040E">
            <w:pPr>
              <w:spacing w:after="157" w:line="276" w:lineRule="auto"/>
              <w:ind w:left="0" w:firstLine="0"/>
              <w:jc w:val="right"/>
            </w:pPr>
            <w:r w:rsidRPr="00854966">
              <w:t>170.06</w:t>
            </w:r>
          </w:p>
        </w:tc>
        <w:tc>
          <w:tcPr>
            <w:tcW w:w="1170" w:type="dxa"/>
            <w:vAlign w:val="center"/>
          </w:tcPr>
          <w:p w14:paraId="065A1278" w14:textId="197AE50B" w:rsidR="00A71D1D" w:rsidRPr="00854966" w:rsidRDefault="0056531B" w:rsidP="00B4040E">
            <w:pPr>
              <w:spacing w:after="157" w:line="276" w:lineRule="auto"/>
              <w:ind w:left="0" w:firstLine="0"/>
              <w:jc w:val="right"/>
            </w:pPr>
            <w:r>
              <w:t>60</w:t>
            </w:r>
          </w:p>
        </w:tc>
        <w:tc>
          <w:tcPr>
            <w:tcW w:w="1170" w:type="dxa"/>
            <w:vAlign w:val="center"/>
          </w:tcPr>
          <w:p w14:paraId="48833F10" w14:textId="3D7622B6" w:rsidR="00A71D1D" w:rsidRPr="00854966" w:rsidRDefault="00391300" w:rsidP="00B4040E">
            <w:pPr>
              <w:spacing w:after="157" w:line="276" w:lineRule="auto"/>
              <w:ind w:left="0" w:firstLine="0"/>
              <w:jc w:val="right"/>
            </w:pPr>
            <w:r>
              <w:t>267.87</w:t>
            </w:r>
          </w:p>
        </w:tc>
        <w:tc>
          <w:tcPr>
            <w:tcW w:w="1350" w:type="dxa"/>
            <w:vAlign w:val="center"/>
          </w:tcPr>
          <w:p w14:paraId="6E172EDD" w14:textId="431CEA7B" w:rsidR="00A71D1D" w:rsidRPr="00854966" w:rsidRDefault="00391300" w:rsidP="00B4040E">
            <w:pPr>
              <w:spacing w:after="157" w:line="276" w:lineRule="auto"/>
              <w:ind w:left="0" w:firstLine="0"/>
              <w:jc w:val="right"/>
            </w:pPr>
            <w:r>
              <w:t>60</w:t>
            </w:r>
          </w:p>
        </w:tc>
      </w:tr>
      <w:tr w:rsidR="00693E2C" w:rsidRPr="00854966" w14:paraId="7C3B9821" w14:textId="77777777" w:rsidTr="00693E2C">
        <w:trPr>
          <w:jc w:val="center"/>
        </w:trPr>
        <w:tc>
          <w:tcPr>
            <w:tcW w:w="2116" w:type="dxa"/>
            <w:vAlign w:val="center"/>
          </w:tcPr>
          <w:p w14:paraId="2F027940" w14:textId="77777777" w:rsidR="00A71D1D" w:rsidRPr="00854966" w:rsidRDefault="00A71D1D" w:rsidP="00B4040E">
            <w:pPr>
              <w:spacing w:after="157" w:line="276" w:lineRule="auto"/>
              <w:ind w:left="0" w:firstLine="0"/>
              <w:jc w:val="both"/>
            </w:pPr>
            <w:r w:rsidRPr="00854966">
              <w:t>Lower River</w:t>
            </w:r>
          </w:p>
        </w:tc>
        <w:tc>
          <w:tcPr>
            <w:tcW w:w="450" w:type="dxa"/>
            <w:vAlign w:val="center"/>
          </w:tcPr>
          <w:p w14:paraId="0CF251C9" w14:textId="77777777" w:rsidR="00A71D1D" w:rsidRPr="00854966" w:rsidRDefault="00A71D1D" w:rsidP="00B4040E">
            <w:pPr>
              <w:spacing w:after="157" w:line="276" w:lineRule="auto"/>
              <w:ind w:left="0" w:firstLine="0"/>
              <w:jc w:val="right"/>
            </w:pPr>
            <w:r w:rsidRPr="00854966">
              <w:t>20</w:t>
            </w:r>
          </w:p>
        </w:tc>
        <w:tc>
          <w:tcPr>
            <w:tcW w:w="1170" w:type="dxa"/>
            <w:vAlign w:val="center"/>
          </w:tcPr>
          <w:p w14:paraId="47385513" w14:textId="3B823206" w:rsidR="00A71D1D" w:rsidRPr="00854966" w:rsidRDefault="004A28D8" w:rsidP="00B4040E">
            <w:pPr>
              <w:spacing w:after="157" w:line="276" w:lineRule="auto"/>
              <w:ind w:left="0" w:firstLine="0"/>
              <w:jc w:val="right"/>
            </w:pPr>
            <w:r>
              <w:t>30</w:t>
            </w:r>
          </w:p>
        </w:tc>
        <w:tc>
          <w:tcPr>
            <w:tcW w:w="1437" w:type="dxa"/>
            <w:vAlign w:val="center"/>
          </w:tcPr>
          <w:p w14:paraId="57249790" w14:textId="45322E7D" w:rsidR="00A71D1D" w:rsidRPr="00854966" w:rsidRDefault="00911488" w:rsidP="00B4040E">
            <w:pPr>
              <w:spacing w:after="157" w:line="276" w:lineRule="auto"/>
              <w:ind w:left="0" w:firstLine="0"/>
              <w:jc w:val="right"/>
            </w:pPr>
            <w:r>
              <w:t>1.55</w:t>
            </w:r>
            <w:r w:rsidR="004A28D8">
              <w:t>– 17.53</w:t>
            </w:r>
          </w:p>
        </w:tc>
        <w:tc>
          <w:tcPr>
            <w:tcW w:w="821" w:type="dxa"/>
            <w:vAlign w:val="center"/>
          </w:tcPr>
          <w:p w14:paraId="31D74B1A" w14:textId="72B7CACC" w:rsidR="00A71D1D" w:rsidRPr="00854966" w:rsidRDefault="00A71D1D" w:rsidP="00B4040E">
            <w:pPr>
              <w:spacing w:after="157" w:line="276" w:lineRule="auto"/>
              <w:ind w:left="0" w:firstLine="0"/>
              <w:jc w:val="right"/>
            </w:pPr>
            <w:r w:rsidRPr="00854966">
              <w:t>2.19</w:t>
            </w:r>
          </w:p>
        </w:tc>
        <w:tc>
          <w:tcPr>
            <w:tcW w:w="1170" w:type="dxa"/>
            <w:vAlign w:val="center"/>
          </w:tcPr>
          <w:p w14:paraId="2B68EB7B" w14:textId="1AB191F8" w:rsidR="00A71D1D" w:rsidRPr="00854966" w:rsidRDefault="004A28D8" w:rsidP="00B4040E">
            <w:pPr>
              <w:spacing w:after="157" w:line="276" w:lineRule="auto"/>
              <w:ind w:left="0" w:firstLine="0"/>
              <w:jc w:val="right"/>
            </w:pPr>
            <w:r>
              <w:t>20</w:t>
            </w:r>
          </w:p>
        </w:tc>
        <w:tc>
          <w:tcPr>
            <w:tcW w:w="1170" w:type="dxa"/>
            <w:vAlign w:val="center"/>
          </w:tcPr>
          <w:p w14:paraId="731E88A6" w14:textId="78F7A65D" w:rsidR="00A71D1D" w:rsidRPr="00854966" w:rsidRDefault="004A0A2C" w:rsidP="00B4040E">
            <w:pPr>
              <w:spacing w:after="157" w:line="276" w:lineRule="auto"/>
              <w:ind w:left="0" w:firstLine="0"/>
              <w:jc w:val="right"/>
            </w:pPr>
            <w:r>
              <w:t>2.78</w:t>
            </w:r>
          </w:p>
        </w:tc>
        <w:tc>
          <w:tcPr>
            <w:tcW w:w="1350" w:type="dxa"/>
            <w:vAlign w:val="center"/>
          </w:tcPr>
          <w:p w14:paraId="756D46A1" w14:textId="1BB478D6" w:rsidR="00A71D1D" w:rsidRPr="00854966" w:rsidRDefault="004A0A2C" w:rsidP="00B4040E">
            <w:pPr>
              <w:spacing w:after="157" w:line="276" w:lineRule="auto"/>
              <w:ind w:left="0" w:firstLine="0"/>
              <w:jc w:val="right"/>
            </w:pPr>
            <w:r>
              <w:t>15</w:t>
            </w:r>
          </w:p>
        </w:tc>
      </w:tr>
      <w:tr w:rsidR="00693E2C" w:rsidRPr="00854966" w14:paraId="4CE24FB9" w14:textId="77777777" w:rsidTr="00693E2C">
        <w:trPr>
          <w:trHeight w:val="229"/>
          <w:jc w:val="center"/>
        </w:trPr>
        <w:tc>
          <w:tcPr>
            <w:tcW w:w="2116" w:type="dxa"/>
            <w:vAlign w:val="center"/>
          </w:tcPr>
          <w:p w14:paraId="15481DC1" w14:textId="055BB3D5" w:rsidR="00507D84" w:rsidRPr="00854966" w:rsidRDefault="00A71D1D" w:rsidP="00B4040E">
            <w:pPr>
              <w:spacing w:after="157" w:line="276" w:lineRule="auto"/>
              <w:ind w:left="0" w:firstLine="0"/>
              <w:jc w:val="both"/>
            </w:pPr>
            <w:r w:rsidRPr="00854966">
              <w:t>Central River- South</w:t>
            </w:r>
          </w:p>
        </w:tc>
        <w:tc>
          <w:tcPr>
            <w:tcW w:w="450" w:type="dxa"/>
            <w:vAlign w:val="center"/>
          </w:tcPr>
          <w:p w14:paraId="0AAA4105" w14:textId="3751280D" w:rsidR="00507D84" w:rsidRPr="00854966" w:rsidRDefault="00A71D1D" w:rsidP="00B4040E">
            <w:pPr>
              <w:spacing w:after="157" w:line="276" w:lineRule="auto"/>
              <w:ind w:left="0" w:firstLine="0"/>
              <w:jc w:val="right"/>
            </w:pPr>
            <w:r w:rsidRPr="00854966">
              <w:t>20</w:t>
            </w:r>
          </w:p>
        </w:tc>
        <w:tc>
          <w:tcPr>
            <w:tcW w:w="1170" w:type="dxa"/>
            <w:vAlign w:val="center"/>
          </w:tcPr>
          <w:p w14:paraId="408D105E" w14:textId="2476A3CD" w:rsidR="00DC773A" w:rsidRPr="00854966" w:rsidRDefault="004A0A2C" w:rsidP="00B4040E">
            <w:pPr>
              <w:spacing w:after="157" w:line="276" w:lineRule="auto"/>
              <w:ind w:left="0" w:firstLine="0"/>
              <w:jc w:val="right"/>
            </w:pPr>
            <w:r>
              <w:t>65</w:t>
            </w:r>
          </w:p>
        </w:tc>
        <w:tc>
          <w:tcPr>
            <w:tcW w:w="1437" w:type="dxa"/>
            <w:vAlign w:val="center"/>
          </w:tcPr>
          <w:p w14:paraId="7EB9BEC9" w14:textId="243C0875" w:rsidR="00DC773A" w:rsidRPr="00854966" w:rsidRDefault="00911488" w:rsidP="00B4040E">
            <w:pPr>
              <w:spacing w:after="157" w:line="276" w:lineRule="auto"/>
              <w:ind w:left="0" w:firstLine="0"/>
              <w:jc w:val="right"/>
            </w:pPr>
            <w:r>
              <w:t>2.92</w:t>
            </w:r>
            <w:r w:rsidR="00B9452A">
              <w:t>–</w:t>
            </w:r>
            <w:r>
              <w:t>218.6</w:t>
            </w:r>
          </w:p>
        </w:tc>
        <w:tc>
          <w:tcPr>
            <w:tcW w:w="821" w:type="dxa"/>
            <w:vAlign w:val="center"/>
          </w:tcPr>
          <w:p w14:paraId="36D920A7" w14:textId="0AC4B49A" w:rsidR="00214080" w:rsidRPr="00854966" w:rsidRDefault="00A71D1D" w:rsidP="00B4040E">
            <w:pPr>
              <w:spacing w:after="157" w:line="276" w:lineRule="auto"/>
              <w:ind w:left="0" w:firstLine="0"/>
              <w:jc w:val="right"/>
            </w:pPr>
            <w:r w:rsidRPr="00854966">
              <w:t>33.56</w:t>
            </w:r>
          </w:p>
        </w:tc>
        <w:tc>
          <w:tcPr>
            <w:tcW w:w="1170" w:type="dxa"/>
            <w:vAlign w:val="center"/>
          </w:tcPr>
          <w:p w14:paraId="42C67545" w14:textId="293988B3" w:rsidR="00214080" w:rsidRPr="00854966" w:rsidRDefault="00B9452A" w:rsidP="00B4040E">
            <w:pPr>
              <w:spacing w:after="157" w:line="276" w:lineRule="auto"/>
              <w:ind w:left="0" w:firstLine="0"/>
              <w:jc w:val="right"/>
            </w:pPr>
            <w:r>
              <w:t>100</w:t>
            </w:r>
          </w:p>
        </w:tc>
        <w:tc>
          <w:tcPr>
            <w:tcW w:w="1170" w:type="dxa"/>
            <w:vAlign w:val="center"/>
          </w:tcPr>
          <w:p w14:paraId="528DA04C" w14:textId="47B59890" w:rsidR="00410AE3" w:rsidRPr="00854966" w:rsidRDefault="00B9452A" w:rsidP="00B4040E">
            <w:pPr>
              <w:spacing w:after="157" w:line="276" w:lineRule="auto"/>
              <w:ind w:left="0" w:firstLine="0"/>
              <w:jc w:val="right"/>
            </w:pPr>
            <w:r>
              <w:t>39.04</w:t>
            </w:r>
          </w:p>
        </w:tc>
        <w:tc>
          <w:tcPr>
            <w:tcW w:w="1350" w:type="dxa"/>
            <w:vAlign w:val="center"/>
          </w:tcPr>
          <w:p w14:paraId="1E4B6159" w14:textId="5BBA608F" w:rsidR="00A71D1D" w:rsidRPr="00854966" w:rsidRDefault="00B9452A" w:rsidP="00B4040E">
            <w:pPr>
              <w:spacing w:after="157" w:line="276" w:lineRule="auto"/>
              <w:ind w:left="0" w:firstLine="0"/>
              <w:jc w:val="right"/>
            </w:pPr>
            <w:r>
              <w:t>60</w:t>
            </w:r>
          </w:p>
        </w:tc>
      </w:tr>
      <w:tr w:rsidR="00693E2C" w:rsidRPr="00854966" w14:paraId="0BFBD6B5" w14:textId="77777777" w:rsidTr="00693E2C">
        <w:trPr>
          <w:trHeight w:val="229"/>
          <w:jc w:val="center"/>
        </w:trPr>
        <w:tc>
          <w:tcPr>
            <w:tcW w:w="2116" w:type="dxa"/>
            <w:vAlign w:val="center"/>
          </w:tcPr>
          <w:p w14:paraId="482D3DA3" w14:textId="60C39FAD" w:rsidR="00D27CF3" w:rsidRPr="00854966" w:rsidRDefault="00D27CF3" w:rsidP="00B4040E">
            <w:pPr>
              <w:spacing w:after="157" w:line="276" w:lineRule="auto"/>
              <w:ind w:left="0" w:firstLine="0"/>
              <w:jc w:val="both"/>
            </w:pPr>
            <w:r>
              <w:t xml:space="preserve">Central River-North </w:t>
            </w:r>
          </w:p>
        </w:tc>
        <w:tc>
          <w:tcPr>
            <w:tcW w:w="450" w:type="dxa"/>
            <w:vAlign w:val="center"/>
          </w:tcPr>
          <w:p w14:paraId="0AA26053" w14:textId="4BD1874A" w:rsidR="00D27CF3" w:rsidRPr="00854966" w:rsidRDefault="00D27CF3" w:rsidP="00B4040E">
            <w:pPr>
              <w:spacing w:after="157" w:line="276" w:lineRule="auto"/>
              <w:ind w:left="0" w:firstLine="0"/>
              <w:jc w:val="right"/>
            </w:pPr>
            <w:r>
              <w:t>20</w:t>
            </w:r>
          </w:p>
        </w:tc>
        <w:tc>
          <w:tcPr>
            <w:tcW w:w="1170" w:type="dxa"/>
            <w:vAlign w:val="center"/>
          </w:tcPr>
          <w:p w14:paraId="1255F5EB" w14:textId="0C440071" w:rsidR="00D27CF3" w:rsidRDefault="00A102B7" w:rsidP="00B4040E">
            <w:pPr>
              <w:spacing w:after="157" w:line="276" w:lineRule="auto"/>
              <w:ind w:left="0" w:firstLine="0"/>
              <w:jc w:val="right"/>
            </w:pPr>
            <w:r>
              <w:t>70</w:t>
            </w:r>
          </w:p>
        </w:tc>
        <w:tc>
          <w:tcPr>
            <w:tcW w:w="1437" w:type="dxa"/>
            <w:vAlign w:val="center"/>
          </w:tcPr>
          <w:p w14:paraId="06C800D5" w14:textId="23FDA7E0" w:rsidR="00D27CF3" w:rsidRDefault="00911488" w:rsidP="00B4040E">
            <w:pPr>
              <w:spacing w:after="157" w:line="276" w:lineRule="auto"/>
              <w:ind w:left="0" w:firstLine="0"/>
              <w:jc w:val="right"/>
            </w:pPr>
            <w:r>
              <w:t>6.48–569.7</w:t>
            </w:r>
          </w:p>
        </w:tc>
        <w:tc>
          <w:tcPr>
            <w:tcW w:w="821" w:type="dxa"/>
            <w:vAlign w:val="center"/>
          </w:tcPr>
          <w:p w14:paraId="41D4914B" w14:textId="575C658C" w:rsidR="00D27CF3" w:rsidRPr="00854966" w:rsidRDefault="00D27CF3" w:rsidP="00B4040E">
            <w:pPr>
              <w:spacing w:after="157" w:line="276" w:lineRule="auto"/>
              <w:ind w:left="0" w:firstLine="0"/>
              <w:jc w:val="right"/>
            </w:pPr>
            <w:r>
              <w:t>68.17</w:t>
            </w:r>
          </w:p>
        </w:tc>
        <w:tc>
          <w:tcPr>
            <w:tcW w:w="1170" w:type="dxa"/>
            <w:vAlign w:val="center"/>
          </w:tcPr>
          <w:p w14:paraId="12D6C0A4" w14:textId="5930B104" w:rsidR="00D27CF3" w:rsidRDefault="00315C3D" w:rsidP="00B4040E">
            <w:pPr>
              <w:spacing w:after="157" w:line="276" w:lineRule="auto"/>
              <w:ind w:left="0" w:firstLine="0"/>
              <w:jc w:val="right"/>
            </w:pPr>
            <w:r>
              <w:t>70</w:t>
            </w:r>
          </w:p>
        </w:tc>
        <w:tc>
          <w:tcPr>
            <w:tcW w:w="1170" w:type="dxa"/>
            <w:vAlign w:val="center"/>
          </w:tcPr>
          <w:p w14:paraId="53A9179D" w14:textId="43DA8678" w:rsidR="00D27CF3" w:rsidRDefault="00315C3D" w:rsidP="00B4040E">
            <w:pPr>
              <w:spacing w:after="157" w:line="276" w:lineRule="auto"/>
              <w:ind w:left="0" w:firstLine="0"/>
              <w:jc w:val="right"/>
            </w:pPr>
            <w:r>
              <w:t>102.32</w:t>
            </w:r>
          </w:p>
        </w:tc>
        <w:tc>
          <w:tcPr>
            <w:tcW w:w="1350" w:type="dxa"/>
            <w:vAlign w:val="center"/>
          </w:tcPr>
          <w:p w14:paraId="18FBB92E" w14:textId="7A7D70D7" w:rsidR="00D27CF3" w:rsidRPr="00854966" w:rsidRDefault="00315C3D" w:rsidP="00B4040E">
            <w:pPr>
              <w:spacing w:after="157" w:line="276" w:lineRule="auto"/>
              <w:ind w:left="0" w:firstLine="0"/>
              <w:jc w:val="right"/>
            </w:pPr>
            <w:r>
              <w:t>100</w:t>
            </w:r>
          </w:p>
        </w:tc>
      </w:tr>
      <w:tr w:rsidR="00693E2C" w:rsidRPr="00854966" w14:paraId="7AF9BC44" w14:textId="77777777" w:rsidTr="00693E2C">
        <w:trPr>
          <w:jc w:val="center"/>
        </w:trPr>
        <w:tc>
          <w:tcPr>
            <w:tcW w:w="2116" w:type="dxa"/>
            <w:vAlign w:val="center"/>
          </w:tcPr>
          <w:p w14:paraId="2119557C" w14:textId="693D1524" w:rsidR="00A71D1D" w:rsidRPr="00854966" w:rsidRDefault="00A71D1D" w:rsidP="00B4040E">
            <w:pPr>
              <w:spacing w:after="157" w:line="276" w:lineRule="auto"/>
              <w:ind w:left="0" w:firstLine="0"/>
              <w:jc w:val="both"/>
            </w:pPr>
            <w:r w:rsidRPr="00854966">
              <w:t>Upper River-South</w:t>
            </w:r>
          </w:p>
        </w:tc>
        <w:tc>
          <w:tcPr>
            <w:tcW w:w="450" w:type="dxa"/>
            <w:vAlign w:val="center"/>
          </w:tcPr>
          <w:p w14:paraId="63F13163" w14:textId="77777777" w:rsidR="00A71D1D" w:rsidRPr="00854966" w:rsidRDefault="00A71D1D" w:rsidP="00B4040E">
            <w:pPr>
              <w:spacing w:after="157" w:line="276" w:lineRule="auto"/>
              <w:ind w:left="0" w:firstLine="0"/>
              <w:jc w:val="right"/>
            </w:pPr>
            <w:r w:rsidRPr="00854966">
              <w:t>20</w:t>
            </w:r>
          </w:p>
        </w:tc>
        <w:tc>
          <w:tcPr>
            <w:tcW w:w="1170" w:type="dxa"/>
            <w:vAlign w:val="center"/>
          </w:tcPr>
          <w:p w14:paraId="37009DC6" w14:textId="063CF052" w:rsidR="00A71D1D" w:rsidRPr="00854966" w:rsidRDefault="00315C3D" w:rsidP="00B4040E">
            <w:pPr>
              <w:spacing w:after="157" w:line="276" w:lineRule="auto"/>
              <w:ind w:left="0" w:firstLine="0"/>
              <w:jc w:val="right"/>
            </w:pPr>
            <w:r>
              <w:t>50</w:t>
            </w:r>
          </w:p>
        </w:tc>
        <w:tc>
          <w:tcPr>
            <w:tcW w:w="1437" w:type="dxa"/>
            <w:vAlign w:val="center"/>
          </w:tcPr>
          <w:p w14:paraId="2DB1839B" w14:textId="4A3A6395" w:rsidR="00A71D1D" w:rsidRPr="00854966" w:rsidRDefault="00911488" w:rsidP="00B4040E">
            <w:pPr>
              <w:spacing w:after="157" w:line="276" w:lineRule="auto"/>
              <w:ind w:left="0" w:firstLine="0"/>
              <w:jc w:val="right"/>
            </w:pPr>
            <w:r>
              <w:t>2.24</w:t>
            </w:r>
            <w:r w:rsidR="000F588B">
              <w:t>–200.64</w:t>
            </w:r>
          </w:p>
        </w:tc>
        <w:tc>
          <w:tcPr>
            <w:tcW w:w="821" w:type="dxa"/>
            <w:vAlign w:val="center"/>
          </w:tcPr>
          <w:p w14:paraId="0E12A083" w14:textId="10E233F1" w:rsidR="00A71D1D" w:rsidRPr="00854966" w:rsidRDefault="00A71D1D" w:rsidP="00B4040E">
            <w:pPr>
              <w:spacing w:after="157" w:line="276" w:lineRule="auto"/>
              <w:ind w:left="0" w:firstLine="0"/>
              <w:jc w:val="right"/>
            </w:pPr>
            <w:r w:rsidRPr="00854966">
              <w:t>15.57</w:t>
            </w:r>
          </w:p>
        </w:tc>
        <w:tc>
          <w:tcPr>
            <w:tcW w:w="1170" w:type="dxa"/>
            <w:vAlign w:val="center"/>
          </w:tcPr>
          <w:p w14:paraId="7BA474D6" w14:textId="1F3DF7F2" w:rsidR="00A71D1D" w:rsidRPr="00854966" w:rsidRDefault="000F588B" w:rsidP="00B4040E">
            <w:pPr>
              <w:spacing w:after="157" w:line="276" w:lineRule="auto"/>
              <w:ind w:left="0" w:firstLine="0"/>
              <w:jc w:val="right"/>
            </w:pPr>
            <w:r>
              <w:t>100</w:t>
            </w:r>
          </w:p>
        </w:tc>
        <w:tc>
          <w:tcPr>
            <w:tcW w:w="1170" w:type="dxa"/>
            <w:vAlign w:val="center"/>
          </w:tcPr>
          <w:p w14:paraId="6F233F3C" w14:textId="12D97921" w:rsidR="00A71D1D" w:rsidRPr="00854966" w:rsidRDefault="000F588B" w:rsidP="00B4040E">
            <w:pPr>
              <w:spacing w:after="157" w:line="276" w:lineRule="auto"/>
              <w:ind w:left="0" w:firstLine="0"/>
              <w:jc w:val="right"/>
            </w:pPr>
            <w:r>
              <w:t>16.5</w:t>
            </w:r>
          </w:p>
        </w:tc>
        <w:tc>
          <w:tcPr>
            <w:tcW w:w="1350" w:type="dxa"/>
            <w:vAlign w:val="center"/>
          </w:tcPr>
          <w:p w14:paraId="363DC6A0" w14:textId="339E7BEF" w:rsidR="00A71D1D" w:rsidRPr="00854966" w:rsidRDefault="000F588B" w:rsidP="00B4040E">
            <w:pPr>
              <w:spacing w:after="157" w:line="276" w:lineRule="auto"/>
              <w:ind w:left="0" w:firstLine="0"/>
              <w:jc w:val="right"/>
            </w:pPr>
            <w:r>
              <w:t>40</w:t>
            </w:r>
          </w:p>
        </w:tc>
      </w:tr>
      <w:tr w:rsidR="00693E2C" w:rsidRPr="00854966" w14:paraId="2DD8FE27" w14:textId="77777777" w:rsidTr="00693E2C">
        <w:trPr>
          <w:jc w:val="center"/>
        </w:trPr>
        <w:tc>
          <w:tcPr>
            <w:tcW w:w="2116" w:type="dxa"/>
            <w:vAlign w:val="center"/>
          </w:tcPr>
          <w:p w14:paraId="59B87C3B" w14:textId="77777777" w:rsidR="00A71D1D" w:rsidRPr="00854966" w:rsidRDefault="00A71D1D" w:rsidP="00B4040E">
            <w:pPr>
              <w:spacing w:after="157" w:line="276" w:lineRule="auto"/>
              <w:ind w:left="0" w:firstLine="0"/>
              <w:jc w:val="both"/>
            </w:pPr>
            <w:r w:rsidRPr="00854966">
              <w:t>Upper River-North</w:t>
            </w:r>
          </w:p>
        </w:tc>
        <w:tc>
          <w:tcPr>
            <w:tcW w:w="450" w:type="dxa"/>
            <w:vAlign w:val="center"/>
          </w:tcPr>
          <w:p w14:paraId="1582C31F" w14:textId="77777777" w:rsidR="00A71D1D" w:rsidRPr="00854966" w:rsidRDefault="00A71D1D" w:rsidP="00B4040E">
            <w:pPr>
              <w:spacing w:after="157" w:line="276" w:lineRule="auto"/>
              <w:ind w:left="0" w:firstLine="0"/>
              <w:jc w:val="right"/>
            </w:pPr>
            <w:r w:rsidRPr="00854966">
              <w:t>20</w:t>
            </w:r>
          </w:p>
        </w:tc>
        <w:tc>
          <w:tcPr>
            <w:tcW w:w="1170" w:type="dxa"/>
            <w:vAlign w:val="center"/>
          </w:tcPr>
          <w:p w14:paraId="54842E03" w14:textId="5E1B3FA1" w:rsidR="00A71D1D" w:rsidRPr="00854966" w:rsidRDefault="001A30BE" w:rsidP="00B4040E">
            <w:pPr>
              <w:spacing w:after="157" w:line="276" w:lineRule="auto"/>
              <w:ind w:left="0" w:firstLine="0"/>
              <w:jc w:val="right"/>
            </w:pPr>
            <w:r>
              <w:t>75</w:t>
            </w:r>
          </w:p>
        </w:tc>
        <w:tc>
          <w:tcPr>
            <w:tcW w:w="1437" w:type="dxa"/>
            <w:vAlign w:val="center"/>
          </w:tcPr>
          <w:p w14:paraId="6DE61A4E" w14:textId="0083170C" w:rsidR="00A71D1D" w:rsidRPr="00854966" w:rsidRDefault="004D5666" w:rsidP="00B4040E">
            <w:pPr>
              <w:spacing w:after="157" w:line="276" w:lineRule="auto"/>
              <w:ind w:left="0" w:firstLine="0"/>
              <w:jc w:val="right"/>
            </w:pPr>
            <w:r>
              <w:t>0.79–</w:t>
            </w:r>
            <w:r w:rsidR="001A30BE">
              <w:t>42.86</w:t>
            </w:r>
          </w:p>
        </w:tc>
        <w:tc>
          <w:tcPr>
            <w:tcW w:w="821" w:type="dxa"/>
            <w:vAlign w:val="center"/>
          </w:tcPr>
          <w:p w14:paraId="2F8C0DC9" w14:textId="09AEEF1B" w:rsidR="00A71D1D" w:rsidRPr="00854966" w:rsidRDefault="00A71D1D" w:rsidP="00B4040E">
            <w:pPr>
              <w:spacing w:after="157" w:line="276" w:lineRule="auto"/>
              <w:ind w:left="0" w:firstLine="0"/>
              <w:jc w:val="right"/>
            </w:pPr>
            <w:r w:rsidRPr="00854966">
              <w:t>3.55</w:t>
            </w:r>
          </w:p>
        </w:tc>
        <w:tc>
          <w:tcPr>
            <w:tcW w:w="1170" w:type="dxa"/>
            <w:vAlign w:val="center"/>
          </w:tcPr>
          <w:p w14:paraId="2AF99DA1" w14:textId="275DCC3E" w:rsidR="00A71D1D" w:rsidRPr="00854966" w:rsidRDefault="001A30BE" w:rsidP="00B4040E">
            <w:pPr>
              <w:spacing w:after="157" w:line="276" w:lineRule="auto"/>
              <w:ind w:left="0" w:firstLine="0"/>
              <w:jc w:val="right"/>
            </w:pPr>
            <w:r>
              <w:t>40</w:t>
            </w:r>
          </w:p>
        </w:tc>
        <w:tc>
          <w:tcPr>
            <w:tcW w:w="1170" w:type="dxa"/>
            <w:vAlign w:val="center"/>
          </w:tcPr>
          <w:p w14:paraId="4520F983" w14:textId="37BB64AA" w:rsidR="00A71D1D" w:rsidRPr="00854966" w:rsidRDefault="001A30BE" w:rsidP="00B4040E">
            <w:pPr>
              <w:spacing w:after="157" w:line="276" w:lineRule="auto"/>
              <w:ind w:left="0" w:firstLine="0"/>
              <w:jc w:val="right"/>
            </w:pPr>
            <w:r>
              <w:t>4.60</w:t>
            </w:r>
          </w:p>
        </w:tc>
        <w:tc>
          <w:tcPr>
            <w:tcW w:w="1350" w:type="dxa"/>
            <w:vAlign w:val="center"/>
          </w:tcPr>
          <w:p w14:paraId="1D10F022" w14:textId="5F3374B0" w:rsidR="00A71D1D" w:rsidRPr="00854966" w:rsidRDefault="00E064C2" w:rsidP="00B4040E">
            <w:pPr>
              <w:spacing w:after="157" w:line="276" w:lineRule="auto"/>
              <w:ind w:left="0" w:firstLine="0"/>
              <w:jc w:val="right"/>
            </w:pPr>
            <w:r>
              <w:t>10</w:t>
            </w:r>
          </w:p>
        </w:tc>
      </w:tr>
      <w:tr w:rsidR="00693E2C" w:rsidRPr="00854966" w14:paraId="617BC718" w14:textId="77777777" w:rsidTr="00693E2C">
        <w:trPr>
          <w:jc w:val="center"/>
        </w:trPr>
        <w:tc>
          <w:tcPr>
            <w:tcW w:w="2116" w:type="dxa"/>
            <w:vAlign w:val="center"/>
          </w:tcPr>
          <w:p w14:paraId="79656F59" w14:textId="77777777" w:rsidR="00A71D1D" w:rsidRPr="00854966" w:rsidRDefault="00A71D1D" w:rsidP="00B4040E">
            <w:pPr>
              <w:spacing w:after="157" w:line="276" w:lineRule="auto"/>
              <w:ind w:left="0" w:firstLine="0"/>
              <w:jc w:val="both"/>
            </w:pPr>
            <w:r w:rsidRPr="00854966">
              <w:t>North Bank</w:t>
            </w:r>
          </w:p>
        </w:tc>
        <w:tc>
          <w:tcPr>
            <w:tcW w:w="450" w:type="dxa"/>
            <w:vAlign w:val="center"/>
          </w:tcPr>
          <w:p w14:paraId="436D90BC" w14:textId="77777777" w:rsidR="00A71D1D" w:rsidRPr="00854966" w:rsidRDefault="00A71D1D" w:rsidP="00B4040E">
            <w:pPr>
              <w:spacing w:after="157" w:line="276" w:lineRule="auto"/>
              <w:ind w:left="0" w:firstLine="0"/>
              <w:jc w:val="right"/>
            </w:pPr>
            <w:r w:rsidRPr="00854966">
              <w:t>20</w:t>
            </w:r>
          </w:p>
        </w:tc>
        <w:tc>
          <w:tcPr>
            <w:tcW w:w="1170" w:type="dxa"/>
            <w:vAlign w:val="center"/>
          </w:tcPr>
          <w:p w14:paraId="5D56493F" w14:textId="2A4390CB" w:rsidR="00A71D1D" w:rsidRPr="00854966" w:rsidRDefault="00804D08" w:rsidP="00B4040E">
            <w:pPr>
              <w:spacing w:after="157" w:line="276" w:lineRule="auto"/>
              <w:ind w:left="0" w:firstLine="0"/>
              <w:jc w:val="right"/>
            </w:pPr>
            <w:r>
              <w:t>55</w:t>
            </w:r>
          </w:p>
        </w:tc>
        <w:tc>
          <w:tcPr>
            <w:tcW w:w="1437" w:type="dxa"/>
            <w:vAlign w:val="center"/>
          </w:tcPr>
          <w:p w14:paraId="5244E4A1" w14:textId="62401991" w:rsidR="00A71D1D" w:rsidRPr="00854966" w:rsidRDefault="004D5666" w:rsidP="00B4040E">
            <w:pPr>
              <w:spacing w:after="157" w:line="276" w:lineRule="auto"/>
              <w:ind w:left="0" w:firstLine="0"/>
              <w:jc w:val="right"/>
            </w:pPr>
            <w:r>
              <w:t>16.35–</w:t>
            </w:r>
            <w:r w:rsidR="007F114E">
              <w:t>342.71</w:t>
            </w:r>
          </w:p>
        </w:tc>
        <w:tc>
          <w:tcPr>
            <w:tcW w:w="821" w:type="dxa"/>
            <w:vAlign w:val="center"/>
          </w:tcPr>
          <w:p w14:paraId="3803E029" w14:textId="394FF757" w:rsidR="00A71D1D" w:rsidRPr="00854966" w:rsidRDefault="00A71D1D" w:rsidP="00B4040E">
            <w:pPr>
              <w:spacing w:after="157" w:line="276" w:lineRule="auto"/>
              <w:ind w:left="0" w:firstLine="0"/>
              <w:jc w:val="right"/>
            </w:pPr>
            <w:r w:rsidRPr="00854966">
              <w:t>73.96</w:t>
            </w:r>
          </w:p>
        </w:tc>
        <w:tc>
          <w:tcPr>
            <w:tcW w:w="1170" w:type="dxa"/>
            <w:vAlign w:val="center"/>
          </w:tcPr>
          <w:p w14:paraId="07BB5F69" w14:textId="54712B62" w:rsidR="00A71D1D" w:rsidRPr="00854966" w:rsidRDefault="007F114E" w:rsidP="00B4040E">
            <w:pPr>
              <w:spacing w:after="157" w:line="276" w:lineRule="auto"/>
              <w:ind w:left="0" w:firstLine="0"/>
              <w:jc w:val="right"/>
            </w:pPr>
            <w:r>
              <w:t>100</w:t>
            </w:r>
          </w:p>
        </w:tc>
        <w:tc>
          <w:tcPr>
            <w:tcW w:w="1170" w:type="dxa"/>
            <w:vAlign w:val="center"/>
          </w:tcPr>
          <w:p w14:paraId="3A4802CE" w14:textId="5F7FC150" w:rsidR="00A71D1D" w:rsidRPr="00854966" w:rsidRDefault="007F114E" w:rsidP="00B4040E">
            <w:pPr>
              <w:spacing w:after="157" w:line="276" w:lineRule="auto"/>
              <w:ind w:left="0" w:firstLine="0"/>
              <w:jc w:val="right"/>
            </w:pPr>
            <w:r>
              <w:t>102.24</w:t>
            </w:r>
          </w:p>
        </w:tc>
        <w:tc>
          <w:tcPr>
            <w:tcW w:w="1350" w:type="dxa"/>
            <w:vAlign w:val="center"/>
          </w:tcPr>
          <w:p w14:paraId="77A0737F" w14:textId="4A4CCEE4" w:rsidR="00A71D1D" w:rsidRPr="00854966" w:rsidRDefault="007F114E" w:rsidP="00B4040E">
            <w:pPr>
              <w:spacing w:after="157" w:line="276" w:lineRule="auto"/>
              <w:ind w:left="0" w:firstLine="0"/>
              <w:jc w:val="right"/>
            </w:pPr>
            <w:r>
              <w:t>100</w:t>
            </w:r>
          </w:p>
        </w:tc>
      </w:tr>
    </w:tbl>
    <w:p w14:paraId="6AEE7EBD" w14:textId="35422180" w:rsidR="00491542" w:rsidRPr="00DF4304" w:rsidRDefault="000A0476" w:rsidP="00623D11">
      <w:pPr>
        <w:spacing w:after="0" w:line="240" w:lineRule="auto"/>
        <w:ind w:left="0" w:firstLine="0"/>
        <w:jc w:val="both"/>
        <w:rPr>
          <w:sz w:val="18"/>
        </w:rPr>
      </w:pPr>
      <w:r w:rsidRPr="00DF4304">
        <w:rPr>
          <w:sz w:val="18"/>
        </w:rPr>
        <w:t>N</w:t>
      </w:r>
      <w:r w:rsidR="00677F64" w:rsidRPr="00DF4304">
        <w:rPr>
          <w:sz w:val="18"/>
        </w:rPr>
        <w:t xml:space="preserve"> = Number of samples analysed</w:t>
      </w:r>
    </w:p>
    <w:p w14:paraId="450BFAD9" w14:textId="13E9C45A" w:rsidR="00941DA0" w:rsidRPr="00DF4304" w:rsidRDefault="00941DA0" w:rsidP="00623D11">
      <w:pPr>
        <w:spacing w:after="0" w:line="240" w:lineRule="auto"/>
        <w:ind w:left="0" w:firstLine="0"/>
        <w:jc w:val="both"/>
        <w:rPr>
          <w:sz w:val="18"/>
        </w:rPr>
      </w:pPr>
      <w:r w:rsidRPr="00DF4304">
        <w:rPr>
          <w:sz w:val="18"/>
        </w:rPr>
        <w:t>Maximum limit for AFB</w:t>
      </w:r>
      <w:r w:rsidRPr="00DF4304">
        <w:rPr>
          <w:sz w:val="18"/>
          <w:vertAlign w:val="subscript"/>
        </w:rPr>
        <w:t>1</w:t>
      </w:r>
      <w:r w:rsidRPr="00DF4304">
        <w:rPr>
          <w:sz w:val="18"/>
        </w:rPr>
        <w:t xml:space="preserve"> = 2 ppb</w:t>
      </w:r>
      <w:r w:rsidR="00C362C4" w:rsidRPr="00DF4304">
        <w:rPr>
          <w:sz w:val="18"/>
        </w:rPr>
        <w:t xml:space="preserve"> (EC 852/</w:t>
      </w:r>
      <w:r w:rsidR="00C23B7B" w:rsidRPr="00DF4304">
        <w:rPr>
          <w:sz w:val="18"/>
        </w:rPr>
        <w:t>2004)</w:t>
      </w:r>
      <w:r w:rsidR="00C362C4" w:rsidRPr="00DF4304">
        <w:rPr>
          <w:sz w:val="18"/>
        </w:rPr>
        <w:t xml:space="preserve"> </w:t>
      </w:r>
    </w:p>
    <w:p w14:paraId="35DDDFB5" w14:textId="77777777" w:rsidR="00B4040E" w:rsidRDefault="00941DA0" w:rsidP="00B4040E">
      <w:pPr>
        <w:spacing w:after="0" w:line="240" w:lineRule="auto"/>
        <w:ind w:left="0" w:firstLine="0"/>
        <w:jc w:val="both"/>
        <w:rPr>
          <w:sz w:val="18"/>
        </w:rPr>
      </w:pPr>
      <w:r w:rsidRPr="00DF4304">
        <w:rPr>
          <w:sz w:val="18"/>
        </w:rPr>
        <w:t>Maxi</w:t>
      </w:r>
      <w:r w:rsidR="00FA1CA5" w:rsidRPr="00DF4304">
        <w:rPr>
          <w:sz w:val="18"/>
        </w:rPr>
        <w:t xml:space="preserve">mum limit </w:t>
      </w:r>
      <w:r w:rsidRPr="00DF4304">
        <w:rPr>
          <w:sz w:val="18"/>
        </w:rPr>
        <w:t>for total aflatoxins =</w:t>
      </w:r>
      <w:r w:rsidR="00C23B7B" w:rsidRPr="00DF4304">
        <w:rPr>
          <w:sz w:val="18"/>
        </w:rPr>
        <w:t xml:space="preserve"> 4ppb (EC 852/2004)</w:t>
      </w:r>
    </w:p>
    <w:p w14:paraId="2DB07C47" w14:textId="1DEA9DC0" w:rsidR="00E61D71" w:rsidRDefault="00E61D71" w:rsidP="00B4040E">
      <w:pPr>
        <w:spacing w:after="0" w:line="240" w:lineRule="auto"/>
        <w:ind w:left="0" w:firstLine="0"/>
        <w:jc w:val="both"/>
        <w:rPr>
          <w:color w:val="FF0000"/>
        </w:rPr>
      </w:pPr>
      <w:r w:rsidRPr="0087330B">
        <w:rPr>
          <w:color w:val="auto"/>
        </w:rPr>
        <w:t>Source:</w:t>
      </w:r>
      <w:r w:rsidR="0087330B" w:rsidRPr="0087330B">
        <w:rPr>
          <w:color w:val="auto"/>
        </w:rPr>
        <w:t xml:space="preserve"> </w:t>
      </w:r>
      <w:r w:rsidR="00AA5B16">
        <w:rPr>
          <w:color w:val="auto"/>
        </w:rPr>
        <w:t>aflasafe</w:t>
      </w:r>
      <w:r w:rsidR="00AA5B16" w:rsidRPr="0087330B">
        <w:rPr>
          <w:color w:val="auto"/>
        </w:rPr>
        <w:t xml:space="preserve"> </w:t>
      </w:r>
      <w:r w:rsidR="0087330B" w:rsidRPr="0087330B">
        <w:rPr>
          <w:color w:val="auto"/>
        </w:rPr>
        <w:t>programme in The Gambia</w:t>
      </w:r>
    </w:p>
    <w:p w14:paraId="4CB28B5E" w14:textId="77777777" w:rsidR="0048674B" w:rsidRPr="0048674B" w:rsidRDefault="0048674B" w:rsidP="0048674B">
      <w:pPr>
        <w:spacing w:after="0" w:line="480" w:lineRule="auto"/>
        <w:ind w:left="0" w:firstLine="0"/>
        <w:jc w:val="both"/>
        <w:rPr>
          <w:color w:val="FF0000"/>
          <w:sz w:val="24"/>
          <w:szCs w:val="24"/>
        </w:rPr>
      </w:pPr>
    </w:p>
    <w:p w14:paraId="4B6D21FF" w14:textId="4A51E507" w:rsidR="00485E36" w:rsidRDefault="00531A91" w:rsidP="00161971">
      <w:pPr>
        <w:spacing w:line="360" w:lineRule="auto"/>
        <w:ind w:left="-6" w:hanging="11"/>
        <w:jc w:val="both"/>
      </w:pPr>
      <w:r w:rsidRPr="002554BB">
        <w:t xml:space="preserve">Aflatoxin levels from EU Rapid Alert System for food and feed (RASFF) are indicated in Table </w:t>
      </w:r>
      <w:r w:rsidR="00993082">
        <w:t>2</w:t>
      </w:r>
      <w:r w:rsidRPr="002554BB">
        <w:t xml:space="preserve">. These results are </w:t>
      </w:r>
      <w:r w:rsidR="00C57398">
        <w:t>based on</w:t>
      </w:r>
      <w:r w:rsidRPr="002554BB">
        <w:t xml:space="preserve"> test carried out on groundnut</w:t>
      </w:r>
      <w:r w:rsidR="000B7871">
        <w:t xml:space="preserve"> – for bird feed and food </w:t>
      </w:r>
      <w:r w:rsidR="00B8487F">
        <w:t>(</w:t>
      </w:r>
      <w:r w:rsidR="000B7871">
        <w:t>Hand Picked Selected (HPS) confectionery</w:t>
      </w:r>
      <w:r w:rsidR="00B8487F">
        <w:t>)</w:t>
      </w:r>
      <w:r w:rsidR="000B7871">
        <w:t xml:space="preserve"> - </w:t>
      </w:r>
      <w:r w:rsidRPr="002554BB">
        <w:t>exported to the EU. The levels exceed</w:t>
      </w:r>
      <w:r w:rsidR="00941028">
        <w:t>ed</w:t>
      </w:r>
      <w:r w:rsidRPr="002554BB">
        <w:t xml:space="preserve"> the maximum residue limits established by the EU Regulation </w:t>
      </w:r>
      <w:r w:rsidRPr="002554BB">
        <w:rPr>
          <w:color w:val="auto"/>
        </w:rPr>
        <w:t xml:space="preserve">No.78/200 2 2002/32/EC for bird feed and HPS confectionary </w:t>
      </w:r>
      <w:r w:rsidR="000C494A">
        <w:rPr>
          <w:color w:val="auto"/>
        </w:rPr>
        <w:t xml:space="preserve">from </w:t>
      </w:r>
      <w:r w:rsidRPr="002554BB">
        <w:rPr>
          <w:color w:val="auto"/>
        </w:rPr>
        <w:t>groundnut</w:t>
      </w:r>
      <w:r w:rsidR="000C494A">
        <w:rPr>
          <w:color w:val="auto"/>
        </w:rPr>
        <w:t>, and</w:t>
      </w:r>
      <w:r w:rsidRPr="002554BB">
        <w:rPr>
          <w:color w:val="auto"/>
        </w:rPr>
        <w:t xml:space="preserve"> as a result </w:t>
      </w:r>
      <w:r w:rsidR="00C23B29" w:rsidRPr="002554BB">
        <w:rPr>
          <w:color w:val="auto"/>
        </w:rPr>
        <w:t xml:space="preserve">these consignments </w:t>
      </w:r>
      <w:r w:rsidR="002B437B">
        <w:rPr>
          <w:color w:val="auto"/>
        </w:rPr>
        <w:t xml:space="preserve">were </w:t>
      </w:r>
      <w:r w:rsidR="00C23B29" w:rsidRPr="002554BB">
        <w:rPr>
          <w:color w:val="auto"/>
        </w:rPr>
        <w:t>rejected and returned to The Gambia</w:t>
      </w:r>
      <w:r w:rsidRPr="002554BB">
        <w:rPr>
          <w:color w:val="auto"/>
        </w:rPr>
        <w:t>.</w:t>
      </w:r>
      <w:r w:rsidRPr="002554BB">
        <w:t xml:space="preserve"> </w:t>
      </w:r>
    </w:p>
    <w:p w14:paraId="07A34AC9" w14:textId="77777777" w:rsidR="007556CF" w:rsidRDefault="007556CF" w:rsidP="00161971">
      <w:pPr>
        <w:spacing w:line="360" w:lineRule="auto"/>
        <w:ind w:left="-6" w:hanging="11"/>
        <w:jc w:val="both"/>
      </w:pPr>
    </w:p>
    <w:p w14:paraId="5AF61905" w14:textId="3336FB9C" w:rsidR="00531A91" w:rsidRPr="002554BB" w:rsidRDefault="00485E36" w:rsidP="00485E36">
      <w:pPr>
        <w:spacing w:after="0"/>
        <w:jc w:val="both"/>
      </w:pPr>
      <w:r>
        <w:lastRenderedPageBreak/>
        <w:t xml:space="preserve">Table </w:t>
      </w:r>
      <w:r w:rsidR="00993082" w:rsidRPr="00993082">
        <w:rPr>
          <w:color w:val="auto"/>
        </w:rPr>
        <w:t>2</w:t>
      </w:r>
      <w:r>
        <w:t xml:space="preserve">: </w:t>
      </w:r>
      <w:r w:rsidRPr="002554BB">
        <w:t>Aflatoxin levels from EU Rapid Alert System for food and feed (RASFF)</w:t>
      </w:r>
      <w:r w:rsidR="00531A91" w:rsidRPr="002554BB">
        <w:t xml:space="preserve"> </w:t>
      </w:r>
    </w:p>
    <w:tbl>
      <w:tblPr>
        <w:tblStyle w:val="TableGrid0"/>
        <w:tblW w:w="9158" w:type="dxa"/>
        <w:jc w:val="center"/>
        <w:tblLook w:val="04A0" w:firstRow="1" w:lastRow="0" w:firstColumn="1" w:lastColumn="0" w:noHBand="0" w:noVBand="1"/>
      </w:tblPr>
      <w:tblGrid>
        <w:gridCol w:w="1890"/>
        <w:gridCol w:w="1060"/>
        <w:gridCol w:w="1133"/>
        <w:gridCol w:w="1157"/>
        <w:gridCol w:w="1145"/>
        <w:gridCol w:w="1383"/>
        <w:gridCol w:w="1390"/>
      </w:tblGrid>
      <w:tr w:rsidR="002554BB" w:rsidRPr="002554BB" w14:paraId="223C49CE" w14:textId="77777777" w:rsidTr="00D55916">
        <w:trPr>
          <w:jc w:val="center"/>
        </w:trPr>
        <w:tc>
          <w:tcPr>
            <w:tcW w:w="1892" w:type="dxa"/>
          </w:tcPr>
          <w:p w14:paraId="2E2AB0FB" w14:textId="77777777" w:rsidR="00531A91" w:rsidRPr="002554BB" w:rsidRDefault="00531A91" w:rsidP="0001674B">
            <w:pPr>
              <w:spacing w:after="157" w:line="240" w:lineRule="auto"/>
              <w:ind w:left="0" w:firstLine="0"/>
              <w:rPr>
                <w:color w:val="auto"/>
              </w:rPr>
            </w:pPr>
            <w:r w:rsidRPr="002554BB">
              <w:rPr>
                <w:color w:val="auto"/>
              </w:rPr>
              <w:t xml:space="preserve">Date of case </w:t>
            </w:r>
          </w:p>
        </w:tc>
        <w:tc>
          <w:tcPr>
            <w:tcW w:w="1060" w:type="dxa"/>
          </w:tcPr>
          <w:p w14:paraId="36D450B2" w14:textId="5CCCB614" w:rsidR="00531A91" w:rsidRPr="002554BB" w:rsidRDefault="00CA7F20" w:rsidP="005F7E9F">
            <w:pPr>
              <w:spacing w:after="157" w:line="240" w:lineRule="auto"/>
              <w:ind w:left="0" w:firstLine="0"/>
              <w:jc w:val="both"/>
              <w:rPr>
                <w:color w:val="auto"/>
              </w:rPr>
            </w:pPr>
            <w:r w:rsidRPr="002554BB">
              <w:rPr>
                <w:color w:val="auto"/>
              </w:rPr>
              <w:t>A</w:t>
            </w:r>
            <w:r>
              <w:rPr>
                <w:color w:val="auto"/>
              </w:rPr>
              <w:t>F</w:t>
            </w:r>
            <w:r w:rsidR="00531A91" w:rsidRPr="002554BB">
              <w:rPr>
                <w:color w:val="auto"/>
              </w:rPr>
              <w:t>B</w:t>
            </w:r>
            <w:r w:rsidR="00531A91" w:rsidRPr="0094607A">
              <w:rPr>
                <w:color w:val="auto"/>
                <w:vertAlign w:val="subscript"/>
              </w:rPr>
              <w:t>1</w:t>
            </w:r>
            <w:r w:rsidR="00531A91" w:rsidRPr="002554BB">
              <w:rPr>
                <w:color w:val="auto"/>
              </w:rPr>
              <w:t xml:space="preserve"> </w:t>
            </w:r>
            <w:r w:rsidR="005F7E9F">
              <w:rPr>
                <w:color w:val="auto"/>
              </w:rPr>
              <w:t>(</w:t>
            </w:r>
            <w:r w:rsidR="00531A91" w:rsidRPr="002554BB">
              <w:rPr>
                <w:color w:val="auto"/>
              </w:rPr>
              <w:t>ppb</w:t>
            </w:r>
            <w:r w:rsidR="005F7E9F">
              <w:rPr>
                <w:color w:val="auto"/>
              </w:rPr>
              <w:t>)</w:t>
            </w:r>
            <w:r w:rsidR="00976A39">
              <w:rPr>
                <w:color w:val="auto"/>
              </w:rPr>
              <w:t xml:space="preserve"> in sample</w:t>
            </w:r>
          </w:p>
        </w:tc>
        <w:tc>
          <w:tcPr>
            <w:tcW w:w="1133" w:type="dxa"/>
          </w:tcPr>
          <w:p w14:paraId="0A288965" w14:textId="2DF954F9" w:rsidR="00531A91" w:rsidRPr="002554BB" w:rsidRDefault="00CE67BE" w:rsidP="007C5F1D">
            <w:pPr>
              <w:spacing w:after="157" w:line="240" w:lineRule="auto"/>
              <w:ind w:left="0" w:firstLine="0"/>
              <w:jc w:val="both"/>
              <w:rPr>
                <w:color w:val="auto"/>
              </w:rPr>
            </w:pPr>
            <w:r w:rsidRPr="002554BB">
              <w:rPr>
                <w:color w:val="auto"/>
              </w:rPr>
              <w:t>Maximum permitted level</w:t>
            </w:r>
            <w:r w:rsidR="008F57C3">
              <w:rPr>
                <w:color w:val="auto"/>
              </w:rPr>
              <w:t xml:space="preserve"> </w:t>
            </w:r>
            <w:r w:rsidR="007C5F1D">
              <w:rPr>
                <w:color w:val="auto"/>
              </w:rPr>
              <w:t>of AF</w:t>
            </w:r>
            <w:r w:rsidR="008F57C3">
              <w:rPr>
                <w:color w:val="auto"/>
              </w:rPr>
              <w:t>B</w:t>
            </w:r>
            <w:r w:rsidR="008F57C3" w:rsidRPr="0094607A">
              <w:rPr>
                <w:color w:val="auto"/>
                <w:vertAlign w:val="subscript"/>
              </w:rPr>
              <w:t>1</w:t>
            </w:r>
            <w:r w:rsidR="007C5F1D">
              <w:rPr>
                <w:color w:val="auto"/>
              </w:rPr>
              <w:t xml:space="preserve"> (</w:t>
            </w:r>
            <w:r w:rsidR="008F57C3">
              <w:rPr>
                <w:color w:val="auto"/>
              </w:rPr>
              <w:t>ppb</w:t>
            </w:r>
            <w:r w:rsidR="007C5F1D">
              <w:rPr>
                <w:color w:val="auto"/>
              </w:rPr>
              <w:t>)</w:t>
            </w:r>
            <w:r w:rsidR="008F57C3">
              <w:rPr>
                <w:color w:val="auto"/>
              </w:rPr>
              <w:t xml:space="preserve"> in EU</w:t>
            </w:r>
          </w:p>
        </w:tc>
        <w:tc>
          <w:tcPr>
            <w:tcW w:w="1157" w:type="dxa"/>
          </w:tcPr>
          <w:p w14:paraId="502B9B2B" w14:textId="43ED46F5" w:rsidR="00531A91" w:rsidRPr="002554BB" w:rsidRDefault="00531A91" w:rsidP="001215B5">
            <w:pPr>
              <w:spacing w:after="157" w:line="240" w:lineRule="auto"/>
              <w:ind w:left="0" w:firstLine="0"/>
              <w:jc w:val="both"/>
              <w:rPr>
                <w:color w:val="auto"/>
              </w:rPr>
            </w:pPr>
            <w:r w:rsidRPr="002554BB">
              <w:rPr>
                <w:color w:val="auto"/>
              </w:rPr>
              <w:t xml:space="preserve">Total </w:t>
            </w:r>
            <w:r w:rsidR="001215B5">
              <w:rPr>
                <w:color w:val="auto"/>
              </w:rPr>
              <w:t>a</w:t>
            </w:r>
            <w:r w:rsidRPr="002554BB">
              <w:rPr>
                <w:color w:val="auto"/>
              </w:rPr>
              <w:t xml:space="preserve">flatoxin </w:t>
            </w:r>
            <w:r w:rsidR="001215B5">
              <w:rPr>
                <w:color w:val="auto"/>
              </w:rPr>
              <w:t>(</w:t>
            </w:r>
            <w:r w:rsidRPr="002554BB">
              <w:rPr>
                <w:color w:val="auto"/>
              </w:rPr>
              <w:t>ppb</w:t>
            </w:r>
            <w:r w:rsidR="001215B5">
              <w:rPr>
                <w:color w:val="auto"/>
              </w:rPr>
              <w:t>)</w:t>
            </w:r>
            <w:r w:rsidR="00976A39">
              <w:rPr>
                <w:color w:val="auto"/>
              </w:rPr>
              <w:t xml:space="preserve"> in sample</w:t>
            </w:r>
          </w:p>
        </w:tc>
        <w:tc>
          <w:tcPr>
            <w:tcW w:w="1145" w:type="dxa"/>
          </w:tcPr>
          <w:p w14:paraId="33EC924B" w14:textId="49DC25C8" w:rsidR="00531A91" w:rsidRPr="002554BB" w:rsidRDefault="008F57C3" w:rsidP="001215B5">
            <w:pPr>
              <w:spacing w:after="157" w:line="240" w:lineRule="auto"/>
              <w:ind w:left="0" w:firstLine="0"/>
              <w:jc w:val="both"/>
              <w:rPr>
                <w:color w:val="auto"/>
              </w:rPr>
            </w:pPr>
            <w:r w:rsidRPr="002554BB">
              <w:rPr>
                <w:color w:val="auto"/>
              </w:rPr>
              <w:t xml:space="preserve">Maximum permitted level </w:t>
            </w:r>
            <w:r w:rsidR="001215B5">
              <w:rPr>
                <w:color w:val="auto"/>
              </w:rPr>
              <w:t xml:space="preserve">of </w:t>
            </w:r>
            <w:r>
              <w:rPr>
                <w:color w:val="auto"/>
              </w:rPr>
              <w:t xml:space="preserve">Total </w:t>
            </w:r>
            <w:r w:rsidR="00713D27">
              <w:rPr>
                <w:color w:val="auto"/>
              </w:rPr>
              <w:t>a</w:t>
            </w:r>
            <w:r>
              <w:rPr>
                <w:color w:val="auto"/>
              </w:rPr>
              <w:t>flatoxins</w:t>
            </w:r>
            <w:r w:rsidR="001215B5">
              <w:rPr>
                <w:color w:val="auto"/>
              </w:rPr>
              <w:t xml:space="preserve"> (ppb)</w:t>
            </w:r>
            <w:r>
              <w:rPr>
                <w:color w:val="auto"/>
              </w:rPr>
              <w:t xml:space="preserve"> in</w:t>
            </w:r>
            <w:r w:rsidRPr="002554BB">
              <w:rPr>
                <w:color w:val="auto"/>
              </w:rPr>
              <w:t xml:space="preserve"> </w:t>
            </w:r>
            <w:r>
              <w:rPr>
                <w:color w:val="auto"/>
              </w:rPr>
              <w:t>EU</w:t>
            </w:r>
          </w:p>
        </w:tc>
        <w:tc>
          <w:tcPr>
            <w:tcW w:w="1381" w:type="dxa"/>
          </w:tcPr>
          <w:p w14:paraId="15B520A3" w14:textId="5BF0ABE4" w:rsidR="00531A91" w:rsidRPr="002554BB" w:rsidRDefault="0087330B" w:rsidP="0001674B">
            <w:pPr>
              <w:spacing w:after="157" w:line="240" w:lineRule="auto"/>
              <w:ind w:left="0" w:firstLine="0"/>
              <w:jc w:val="both"/>
              <w:rPr>
                <w:color w:val="auto"/>
              </w:rPr>
            </w:pPr>
            <w:r>
              <w:rPr>
                <w:color w:val="auto"/>
              </w:rPr>
              <w:t>Product</w:t>
            </w:r>
          </w:p>
        </w:tc>
        <w:tc>
          <w:tcPr>
            <w:tcW w:w="1390" w:type="dxa"/>
          </w:tcPr>
          <w:p w14:paraId="60B1DB70" w14:textId="2A107A0F" w:rsidR="00531A91" w:rsidRPr="002554BB" w:rsidRDefault="00531A91" w:rsidP="0001674B">
            <w:pPr>
              <w:spacing w:after="157" w:line="240" w:lineRule="auto"/>
              <w:ind w:left="0" w:firstLine="0"/>
              <w:jc w:val="both"/>
              <w:rPr>
                <w:color w:val="auto"/>
              </w:rPr>
            </w:pPr>
            <w:r w:rsidRPr="002554BB">
              <w:rPr>
                <w:color w:val="auto"/>
              </w:rPr>
              <w:t xml:space="preserve">Consignment weight </w:t>
            </w:r>
            <w:r w:rsidR="00B37231">
              <w:rPr>
                <w:color w:val="auto"/>
              </w:rPr>
              <w:t>(</w:t>
            </w:r>
            <w:r w:rsidRPr="002554BB">
              <w:rPr>
                <w:color w:val="auto"/>
              </w:rPr>
              <w:t>Kg</w:t>
            </w:r>
            <w:r w:rsidR="00B37231">
              <w:rPr>
                <w:color w:val="auto"/>
              </w:rPr>
              <w:t>)</w:t>
            </w:r>
          </w:p>
        </w:tc>
      </w:tr>
      <w:tr w:rsidR="00531A91" w:rsidRPr="00400BCD" w14:paraId="6E97EBBA" w14:textId="77777777" w:rsidTr="00D55916">
        <w:trPr>
          <w:jc w:val="center"/>
        </w:trPr>
        <w:tc>
          <w:tcPr>
            <w:tcW w:w="1892" w:type="dxa"/>
          </w:tcPr>
          <w:p w14:paraId="7DE82FCF"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Ma</w:t>
            </w:r>
            <w:r>
              <w:rPr>
                <w:color w:val="auto"/>
                <w:sz w:val="20"/>
                <w:szCs w:val="20"/>
              </w:rPr>
              <w:t>y</w:t>
            </w:r>
            <w:r w:rsidRPr="00400BCD">
              <w:rPr>
                <w:color w:val="auto"/>
                <w:sz w:val="20"/>
                <w:szCs w:val="20"/>
              </w:rPr>
              <w:t xml:space="preserve"> 8, 2015</w:t>
            </w:r>
          </w:p>
        </w:tc>
        <w:tc>
          <w:tcPr>
            <w:tcW w:w="1060" w:type="dxa"/>
          </w:tcPr>
          <w:p w14:paraId="4F7F1F7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101</w:t>
            </w:r>
          </w:p>
        </w:tc>
        <w:tc>
          <w:tcPr>
            <w:tcW w:w="1133" w:type="dxa"/>
          </w:tcPr>
          <w:p w14:paraId="5AE62D02" w14:textId="18AC2878" w:rsidR="00531A91" w:rsidRPr="00400BCD"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4B598256"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223.8</w:t>
            </w:r>
          </w:p>
        </w:tc>
        <w:tc>
          <w:tcPr>
            <w:tcW w:w="1145" w:type="dxa"/>
          </w:tcPr>
          <w:p w14:paraId="43EA0A90" w14:textId="54679B7E" w:rsidR="00531A91" w:rsidRPr="00400BCD"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04A410AE" w14:textId="2850479E" w:rsidR="00531A91" w:rsidRPr="00400BCD" w:rsidRDefault="002554BB" w:rsidP="0001674B">
            <w:pPr>
              <w:spacing w:after="157" w:line="240" w:lineRule="auto"/>
              <w:ind w:left="0" w:firstLine="0"/>
              <w:jc w:val="both"/>
              <w:rPr>
                <w:color w:val="auto"/>
                <w:sz w:val="20"/>
                <w:szCs w:val="20"/>
              </w:rPr>
            </w:pPr>
            <w:r>
              <w:rPr>
                <w:color w:val="auto"/>
                <w:sz w:val="20"/>
                <w:szCs w:val="20"/>
              </w:rPr>
              <w:t>B</w:t>
            </w:r>
            <w:r w:rsidR="00531A91" w:rsidRPr="00400BCD">
              <w:rPr>
                <w:color w:val="auto"/>
                <w:sz w:val="20"/>
                <w:szCs w:val="20"/>
              </w:rPr>
              <w:t>ird feed</w:t>
            </w:r>
          </w:p>
        </w:tc>
        <w:tc>
          <w:tcPr>
            <w:tcW w:w="1390" w:type="dxa"/>
          </w:tcPr>
          <w:p w14:paraId="252098F0" w14:textId="1DA23EE4"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18,000</w:t>
            </w:r>
          </w:p>
        </w:tc>
      </w:tr>
      <w:tr w:rsidR="00531A91" w:rsidRPr="00400BCD" w14:paraId="24210D2F" w14:textId="77777777" w:rsidTr="00D55916">
        <w:trPr>
          <w:jc w:val="center"/>
        </w:trPr>
        <w:tc>
          <w:tcPr>
            <w:tcW w:w="1892" w:type="dxa"/>
          </w:tcPr>
          <w:p w14:paraId="553B35C8"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 xml:space="preserve">May </w:t>
            </w:r>
            <w:r w:rsidRPr="00400BCD">
              <w:rPr>
                <w:color w:val="auto"/>
                <w:sz w:val="20"/>
                <w:szCs w:val="20"/>
              </w:rPr>
              <w:t>7</w:t>
            </w:r>
            <w:r>
              <w:rPr>
                <w:color w:val="auto"/>
                <w:sz w:val="20"/>
                <w:szCs w:val="20"/>
              </w:rPr>
              <w:t>, 2015</w:t>
            </w:r>
          </w:p>
        </w:tc>
        <w:tc>
          <w:tcPr>
            <w:tcW w:w="1060" w:type="dxa"/>
          </w:tcPr>
          <w:p w14:paraId="5B8B133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142</w:t>
            </w:r>
          </w:p>
        </w:tc>
        <w:tc>
          <w:tcPr>
            <w:tcW w:w="1133" w:type="dxa"/>
          </w:tcPr>
          <w:p w14:paraId="016C4154" w14:textId="5383A37A" w:rsidR="00531A91"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3112F707"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3F9B9445" w14:textId="25C50D03" w:rsidR="00531A91" w:rsidRPr="00400BCD"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4E940068"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Bird feed</w:t>
            </w:r>
          </w:p>
        </w:tc>
        <w:tc>
          <w:tcPr>
            <w:tcW w:w="1390" w:type="dxa"/>
          </w:tcPr>
          <w:p w14:paraId="1EE07624"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20</w:t>
            </w:r>
            <w:r>
              <w:rPr>
                <w:color w:val="auto"/>
                <w:sz w:val="20"/>
                <w:szCs w:val="20"/>
              </w:rPr>
              <w:t>,</w:t>
            </w:r>
            <w:r w:rsidRPr="00400BCD">
              <w:rPr>
                <w:color w:val="auto"/>
                <w:sz w:val="20"/>
                <w:szCs w:val="20"/>
              </w:rPr>
              <w:t xml:space="preserve">230 </w:t>
            </w:r>
          </w:p>
        </w:tc>
      </w:tr>
      <w:tr w:rsidR="00531A91" w:rsidRPr="00400BCD" w14:paraId="1DC2BAD3" w14:textId="77777777" w:rsidTr="00D55916">
        <w:trPr>
          <w:jc w:val="center"/>
        </w:trPr>
        <w:tc>
          <w:tcPr>
            <w:tcW w:w="1892" w:type="dxa"/>
          </w:tcPr>
          <w:p w14:paraId="23039034"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M</w:t>
            </w:r>
            <w:r w:rsidRPr="00400BCD">
              <w:rPr>
                <w:color w:val="auto"/>
                <w:sz w:val="20"/>
                <w:szCs w:val="20"/>
              </w:rPr>
              <w:t>ay</w:t>
            </w:r>
            <w:r>
              <w:rPr>
                <w:color w:val="auto"/>
                <w:sz w:val="20"/>
                <w:szCs w:val="20"/>
              </w:rPr>
              <w:t xml:space="preserve"> 5, 2015</w:t>
            </w:r>
          </w:p>
        </w:tc>
        <w:tc>
          <w:tcPr>
            <w:tcW w:w="1060" w:type="dxa"/>
          </w:tcPr>
          <w:p w14:paraId="5ABFE358"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207</w:t>
            </w:r>
          </w:p>
        </w:tc>
        <w:tc>
          <w:tcPr>
            <w:tcW w:w="1133" w:type="dxa"/>
          </w:tcPr>
          <w:p w14:paraId="0E81999D" w14:textId="76310842" w:rsidR="00531A91" w:rsidRPr="00400BCD"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1CEECC11"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306.4</w:t>
            </w:r>
          </w:p>
        </w:tc>
        <w:tc>
          <w:tcPr>
            <w:tcW w:w="1145" w:type="dxa"/>
          </w:tcPr>
          <w:p w14:paraId="10176C37" w14:textId="1390F692" w:rsidR="00531A91" w:rsidRPr="00400BCD"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6D9F2AC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Bird feed</w:t>
            </w:r>
          </w:p>
        </w:tc>
        <w:tc>
          <w:tcPr>
            <w:tcW w:w="1390" w:type="dxa"/>
          </w:tcPr>
          <w:p w14:paraId="0E3837D6"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108</w:t>
            </w:r>
            <w:r>
              <w:rPr>
                <w:color w:val="auto"/>
                <w:sz w:val="20"/>
                <w:szCs w:val="20"/>
              </w:rPr>
              <w:t>,</w:t>
            </w:r>
            <w:r w:rsidRPr="00400BCD">
              <w:rPr>
                <w:color w:val="auto"/>
                <w:sz w:val="20"/>
                <w:szCs w:val="20"/>
              </w:rPr>
              <w:t>000</w:t>
            </w:r>
          </w:p>
        </w:tc>
      </w:tr>
      <w:tr w:rsidR="00531A91" w:rsidRPr="00400BCD" w14:paraId="390F2612" w14:textId="77777777" w:rsidTr="00D55916">
        <w:trPr>
          <w:jc w:val="center"/>
        </w:trPr>
        <w:tc>
          <w:tcPr>
            <w:tcW w:w="1892" w:type="dxa"/>
          </w:tcPr>
          <w:p w14:paraId="5285FF54"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May 5, 2015</w:t>
            </w:r>
          </w:p>
        </w:tc>
        <w:tc>
          <w:tcPr>
            <w:tcW w:w="1060" w:type="dxa"/>
          </w:tcPr>
          <w:p w14:paraId="79A108B6"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194</w:t>
            </w:r>
          </w:p>
        </w:tc>
        <w:tc>
          <w:tcPr>
            <w:tcW w:w="1133" w:type="dxa"/>
          </w:tcPr>
          <w:p w14:paraId="31D82E19" w14:textId="4DB568B4" w:rsidR="00531A91"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4D6D31D9"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711E3795" w14:textId="3B5007A5" w:rsidR="00531A91" w:rsidRPr="00400BCD"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2F474298"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Bird feed</w:t>
            </w:r>
          </w:p>
        </w:tc>
        <w:tc>
          <w:tcPr>
            <w:tcW w:w="1390" w:type="dxa"/>
          </w:tcPr>
          <w:p w14:paraId="5BD2979C"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25</w:t>
            </w:r>
          </w:p>
        </w:tc>
      </w:tr>
      <w:tr w:rsidR="00531A91" w:rsidRPr="00400BCD" w14:paraId="6A6B3521" w14:textId="77777777" w:rsidTr="00D55916">
        <w:trPr>
          <w:jc w:val="center"/>
        </w:trPr>
        <w:tc>
          <w:tcPr>
            <w:tcW w:w="1892" w:type="dxa"/>
          </w:tcPr>
          <w:p w14:paraId="153457AF"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May 5, 2015</w:t>
            </w:r>
          </w:p>
        </w:tc>
        <w:tc>
          <w:tcPr>
            <w:tcW w:w="1060" w:type="dxa"/>
          </w:tcPr>
          <w:p w14:paraId="1414919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83.7</w:t>
            </w:r>
          </w:p>
        </w:tc>
        <w:tc>
          <w:tcPr>
            <w:tcW w:w="1133" w:type="dxa"/>
          </w:tcPr>
          <w:p w14:paraId="74213BF8" w14:textId="690DAF83" w:rsidR="00531A91"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3A068032"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2670D59B" w14:textId="08421F29" w:rsidR="00531A91" w:rsidRPr="00400BCD"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51BF742C"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Bird feed</w:t>
            </w:r>
          </w:p>
        </w:tc>
        <w:tc>
          <w:tcPr>
            <w:tcW w:w="1390" w:type="dxa"/>
          </w:tcPr>
          <w:p w14:paraId="38D8A629"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5B57A428" w14:textId="77777777" w:rsidTr="00D55916">
        <w:trPr>
          <w:jc w:val="center"/>
        </w:trPr>
        <w:tc>
          <w:tcPr>
            <w:tcW w:w="1892" w:type="dxa"/>
          </w:tcPr>
          <w:p w14:paraId="2DE222B5"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M</w:t>
            </w:r>
            <w:r w:rsidRPr="00400BCD">
              <w:rPr>
                <w:color w:val="auto"/>
                <w:sz w:val="20"/>
                <w:szCs w:val="20"/>
              </w:rPr>
              <w:t>arch</w:t>
            </w:r>
            <w:r>
              <w:rPr>
                <w:color w:val="auto"/>
                <w:sz w:val="20"/>
                <w:szCs w:val="20"/>
              </w:rPr>
              <w:t xml:space="preserve"> 25, 2015</w:t>
            </w:r>
          </w:p>
        </w:tc>
        <w:tc>
          <w:tcPr>
            <w:tcW w:w="1060" w:type="dxa"/>
          </w:tcPr>
          <w:p w14:paraId="575A4CEC"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50.5</w:t>
            </w:r>
          </w:p>
        </w:tc>
        <w:tc>
          <w:tcPr>
            <w:tcW w:w="1133" w:type="dxa"/>
          </w:tcPr>
          <w:p w14:paraId="3E45EB67"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1B6496F3"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64.4</w:t>
            </w:r>
          </w:p>
        </w:tc>
        <w:tc>
          <w:tcPr>
            <w:tcW w:w="1145" w:type="dxa"/>
          </w:tcPr>
          <w:p w14:paraId="7CFFBB85"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4</w:t>
            </w:r>
          </w:p>
        </w:tc>
        <w:tc>
          <w:tcPr>
            <w:tcW w:w="1381" w:type="dxa"/>
          </w:tcPr>
          <w:p w14:paraId="79C9D5F3"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Food</w:t>
            </w:r>
            <w:r>
              <w:rPr>
                <w:color w:val="auto"/>
                <w:sz w:val="20"/>
                <w:szCs w:val="20"/>
              </w:rPr>
              <w:t xml:space="preserve"> (HPS confectionery)</w:t>
            </w:r>
          </w:p>
        </w:tc>
        <w:tc>
          <w:tcPr>
            <w:tcW w:w="1390" w:type="dxa"/>
            <w:vMerge w:val="restart"/>
          </w:tcPr>
          <w:p w14:paraId="4F21B633"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18,240</w:t>
            </w:r>
          </w:p>
        </w:tc>
      </w:tr>
      <w:tr w:rsidR="00531A91" w:rsidRPr="00400BCD" w14:paraId="707EC683" w14:textId="77777777" w:rsidTr="00D55916">
        <w:trPr>
          <w:jc w:val="center"/>
        </w:trPr>
        <w:tc>
          <w:tcPr>
            <w:tcW w:w="1892" w:type="dxa"/>
          </w:tcPr>
          <w:p w14:paraId="4C41865F" w14:textId="5FEBDC38" w:rsidR="00531A91" w:rsidRPr="00400BCD" w:rsidRDefault="00531A91" w:rsidP="0001674B">
            <w:pPr>
              <w:spacing w:after="157" w:line="240" w:lineRule="auto"/>
              <w:ind w:left="0" w:firstLine="0"/>
              <w:jc w:val="both"/>
              <w:rPr>
                <w:color w:val="auto"/>
                <w:sz w:val="20"/>
                <w:szCs w:val="20"/>
              </w:rPr>
            </w:pPr>
            <w:r>
              <w:rPr>
                <w:color w:val="auto"/>
                <w:sz w:val="20"/>
                <w:szCs w:val="20"/>
              </w:rPr>
              <w:t>M</w:t>
            </w:r>
            <w:r w:rsidRPr="00400BCD">
              <w:rPr>
                <w:color w:val="auto"/>
                <w:sz w:val="20"/>
                <w:szCs w:val="20"/>
              </w:rPr>
              <w:t>arch</w:t>
            </w:r>
            <w:r w:rsidR="003A67A5">
              <w:rPr>
                <w:color w:val="auto"/>
                <w:sz w:val="20"/>
                <w:szCs w:val="20"/>
              </w:rPr>
              <w:t xml:space="preserve"> 25</w:t>
            </w:r>
            <w:r>
              <w:rPr>
                <w:color w:val="auto"/>
                <w:sz w:val="20"/>
                <w:szCs w:val="20"/>
              </w:rPr>
              <w:t>,  2015</w:t>
            </w:r>
          </w:p>
        </w:tc>
        <w:tc>
          <w:tcPr>
            <w:tcW w:w="1060" w:type="dxa"/>
          </w:tcPr>
          <w:p w14:paraId="08CCBD50"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70.2</w:t>
            </w:r>
          </w:p>
        </w:tc>
        <w:tc>
          <w:tcPr>
            <w:tcW w:w="1133" w:type="dxa"/>
          </w:tcPr>
          <w:p w14:paraId="31874E86"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2EDC47D1"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90.5</w:t>
            </w:r>
          </w:p>
        </w:tc>
        <w:tc>
          <w:tcPr>
            <w:tcW w:w="1145" w:type="dxa"/>
          </w:tcPr>
          <w:p w14:paraId="53BBEE4C"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4</w:t>
            </w:r>
          </w:p>
        </w:tc>
        <w:tc>
          <w:tcPr>
            <w:tcW w:w="1381" w:type="dxa"/>
          </w:tcPr>
          <w:p w14:paraId="6BB1BD7D" w14:textId="142C4A12"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Food</w:t>
            </w:r>
            <w:r>
              <w:rPr>
                <w:color w:val="auto"/>
                <w:sz w:val="20"/>
                <w:szCs w:val="20"/>
              </w:rPr>
              <w:t xml:space="preserve"> (HPS confectionery)</w:t>
            </w:r>
          </w:p>
        </w:tc>
        <w:tc>
          <w:tcPr>
            <w:tcW w:w="1390" w:type="dxa"/>
            <w:vMerge/>
          </w:tcPr>
          <w:p w14:paraId="1CBF431F" w14:textId="77777777" w:rsidR="00531A91" w:rsidRPr="00400BCD" w:rsidRDefault="00531A91" w:rsidP="0001674B">
            <w:pPr>
              <w:spacing w:after="157" w:line="240" w:lineRule="auto"/>
              <w:ind w:left="0" w:firstLine="0"/>
              <w:jc w:val="both"/>
              <w:rPr>
                <w:color w:val="auto"/>
                <w:sz w:val="20"/>
                <w:szCs w:val="20"/>
              </w:rPr>
            </w:pPr>
          </w:p>
        </w:tc>
      </w:tr>
      <w:tr w:rsidR="00531A91" w:rsidRPr="00400BCD" w14:paraId="7F72B3BE" w14:textId="77777777" w:rsidTr="00D55916">
        <w:trPr>
          <w:jc w:val="center"/>
        </w:trPr>
        <w:tc>
          <w:tcPr>
            <w:tcW w:w="1892" w:type="dxa"/>
          </w:tcPr>
          <w:p w14:paraId="4A929004"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D</w:t>
            </w:r>
            <w:r w:rsidRPr="00400BCD">
              <w:rPr>
                <w:color w:val="auto"/>
                <w:sz w:val="20"/>
                <w:szCs w:val="20"/>
              </w:rPr>
              <w:t>ec</w:t>
            </w:r>
            <w:r>
              <w:rPr>
                <w:color w:val="auto"/>
                <w:sz w:val="20"/>
                <w:szCs w:val="20"/>
              </w:rPr>
              <w:t>ember 23,</w:t>
            </w:r>
            <w:r w:rsidRPr="00400BCD">
              <w:rPr>
                <w:color w:val="auto"/>
                <w:sz w:val="20"/>
                <w:szCs w:val="20"/>
              </w:rPr>
              <w:t xml:space="preserve"> 2014</w:t>
            </w:r>
          </w:p>
        </w:tc>
        <w:tc>
          <w:tcPr>
            <w:tcW w:w="1060" w:type="dxa"/>
          </w:tcPr>
          <w:p w14:paraId="73ABD02D"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185</w:t>
            </w:r>
          </w:p>
        </w:tc>
        <w:tc>
          <w:tcPr>
            <w:tcW w:w="1133" w:type="dxa"/>
          </w:tcPr>
          <w:p w14:paraId="215E4FAD" w14:textId="7198A70D" w:rsidR="00531A91"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3A23671B"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7B3746AE" w14:textId="6BB20FAE" w:rsidR="00531A91"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129F732E"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 xml:space="preserve">Bird </w:t>
            </w:r>
            <w:r w:rsidRPr="00400BCD">
              <w:rPr>
                <w:color w:val="auto"/>
                <w:sz w:val="20"/>
                <w:szCs w:val="20"/>
              </w:rPr>
              <w:t>Feed</w:t>
            </w:r>
          </w:p>
        </w:tc>
        <w:tc>
          <w:tcPr>
            <w:tcW w:w="1390" w:type="dxa"/>
          </w:tcPr>
          <w:p w14:paraId="0A1269D5"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5AB574EC" w14:textId="77777777" w:rsidTr="00D55916">
        <w:trPr>
          <w:jc w:val="center"/>
        </w:trPr>
        <w:tc>
          <w:tcPr>
            <w:tcW w:w="1892" w:type="dxa"/>
          </w:tcPr>
          <w:p w14:paraId="6E667608"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December 22, 2014</w:t>
            </w:r>
          </w:p>
        </w:tc>
        <w:tc>
          <w:tcPr>
            <w:tcW w:w="1060" w:type="dxa"/>
          </w:tcPr>
          <w:p w14:paraId="6BCB1467"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70</w:t>
            </w:r>
          </w:p>
        </w:tc>
        <w:tc>
          <w:tcPr>
            <w:tcW w:w="1133" w:type="dxa"/>
          </w:tcPr>
          <w:p w14:paraId="68DAAB3A" w14:textId="77777777" w:rsidR="00531A91"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27E7BAFF"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7FFD83D4" w14:textId="29755AB1" w:rsidR="00531A91" w:rsidRPr="00400BCD" w:rsidRDefault="00585308" w:rsidP="0001674B">
            <w:pPr>
              <w:spacing w:after="157" w:line="240" w:lineRule="auto"/>
              <w:ind w:left="0" w:firstLine="0"/>
              <w:jc w:val="both"/>
              <w:rPr>
                <w:color w:val="auto"/>
                <w:sz w:val="20"/>
                <w:szCs w:val="20"/>
              </w:rPr>
            </w:pPr>
            <w:r>
              <w:rPr>
                <w:color w:val="auto"/>
                <w:sz w:val="20"/>
                <w:szCs w:val="20"/>
              </w:rPr>
              <w:t>4</w:t>
            </w:r>
          </w:p>
        </w:tc>
        <w:tc>
          <w:tcPr>
            <w:tcW w:w="1381" w:type="dxa"/>
          </w:tcPr>
          <w:p w14:paraId="3BB748E3"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Food</w:t>
            </w:r>
            <w:r>
              <w:rPr>
                <w:color w:val="auto"/>
                <w:sz w:val="20"/>
                <w:szCs w:val="20"/>
              </w:rPr>
              <w:t xml:space="preserve"> (HPS confectionery)</w:t>
            </w:r>
          </w:p>
        </w:tc>
        <w:tc>
          <w:tcPr>
            <w:tcW w:w="1390" w:type="dxa"/>
          </w:tcPr>
          <w:p w14:paraId="01740376"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2A8A793C" w14:textId="77777777" w:rsidTr="00D55916">
        <w:trPr>
          <w:jc w:val="center"/>
        </w:trPr>
        <w:tc>
          <w:tcPr>
            <w:tcW w:w="1892" w:type="dxa"/>
          </w:tcPr>
          <w:p w14:paraId="7E535E45"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w:t>
            </w:r>
            <w:r w:rsidRPr="00400BCD">
              <w:rPr>
                <w:color w:val="auto"/>
                <w:sz w:val="20"/>
                <w:szCs w:val="20"/>
              </w:rPr>
              <w:t>ov</w:t>
            </w:r>
            <w:r>
              <w:rPr>
                <w:color w:val="auto"/>
                <w:sz w:val="20"/>
                <w:szCs w:val="20"/>
              </w:rPr>
              <w:t>ember 25, 2014</w:t>
            </w:r>
          </w:p>
        </w:tc>
        <w:tc>
          <w:tcPr>
            <w:tcW w:w="1060" w:type="dxa"/>
          </w:tcPr>
          <w:p w14:paraId="5F546EE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97.7</w:t>
            </w:r>
          </w:p>
        </w:tc>
        <w:tc>
          <w:tcPr>
            <w:tcW w:w="1133" w:type="dxa"/>
          </w:tcPr>
          <w:p w14:paraId="452EAAA5" w14:textId="205DB0B6" w:rsidR="00531A91"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2A554DEA"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NA</w:t>
            </w:r>
          </w:p>
        </w:tc>
        <w:tc>
          <w:tcPr>
            <w:tcW w:w="1145" w:type="dxa"/>
          </w:tcPr>
          <w:p w14:paraId="259AD8E9" w14:textId="2910715C" w:rsidR="00531A91"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40802063"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 xml:space="preserve">Bird </w:t>
            </w:r>
            <w:r w:rsidRPr="00400BCD">
              <w:rPr>
                <w:color w:val="auto"/>
                <w:sz w:val="20"/>
                <w:szCs w:val="20"/>
              </w:rPr>
              <w:t>Feed</w:t>
            </w:r>
          </w:p>
        </w:tc>
        <w:tc>
          <w:tcPr>
            <w:tcW w:w="1390" w:type="dxa"/>
          </w:tcPr>
          <w:p w14:paraId="0E674338"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2C0E6C65" w14:textId="77777777" w:rsidTr="00D55916">
        <w:trPr>
          <w:jc w:val="center"/>
        </w:trPr>
        <w:tc>
          <w:tcPr>
            <w:tcW w:w="1892" w:type="dxa"/>
          </w:tcPr>
          <w:p w14:paraId="1D59CDFD"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N</w:t>
            </w:r>
            <w:r w:rsidRPr="00400BCD">
              <w:rPr>
                <w:color w:val="auto"/>
                <w:sz w:val="20"/>
                <w:szCs w:val="20"/>
              </w:rPr>
              <w:t>ov</w:t>
            </w:r>
            <w:r>
              <w:rPr>
                <w:color w:val="auto"/>
                <w:sz w:val="20"/>
                <w:szCs w:val="20"/>
              </w:rPr>
              <w:t>ember 19, 2014</w:t>
            </w:r>
          </w:p>
        </w:tc>
        <w:tc>
          <w:tcPr>
            <w:tcW w:w="1060" w:type="dxa"/>
          </w:tcPr>
          <w:p w14:paraId="19401890"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35.4</w:t>
            </w:r>
          </w:p>
        </w:tc>
        <w:tc>
          <w:tcPr>
            <w:tcW w:w="1133" w:type="dxa"/>
          </w:tcPr>
          <w:p w14:paraId="4AFB01E3" w14:textId="5031AEF2" w:rsidR="00531A91" w:rsidRPr="00400BCD" w:rsidRDefault="0047291E" w:rsidP="0001674B">
            <w:pPr>
              <w:spacing w:after="157" w:line="240" w:lineRule="auto"/>
              <w:ind w:left="0" w:firstLine="0"/>
              <w:jc w:val="both"/>
              <w:rPr>
                <w:color w:val="auto"/>
                <w:sz w:val="20"/>
                <w:szCs w:val="20"/>
              </w:rPr>
            </w:pPr>
            <w:r>
              <w:rPr>
                <w:color w:val="auto"/>
                <w:sz w:val="20"/>
                <w:szCs w:val="20"/>
              </w:rPr>
              <w:t>20</w:t>
            </w:r>
          </w:p>
        </w:tc>
        <w:tc>
          <w:tcPr>
            <w:tcW w:w="1157" w:type="dxa"/>
          </w:tcPr>
          <w:p w14:paraId="1A843670"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40.3</w:t>
            </w:r>
          </w:p>
        </w:tc>
        <w:tc>
          <w:tcPr>
            <w:tcW w:w="1145" w:type="dxa"/>
          </w:tcPr>
          <w:p w14:paraId="5D29196A" w14:textId="76D9A6AB" w:rsidR="00531A91" w:rsidRDefault="00B103BF" w:rsidP="0001674B">
            <w:pPr>
              <w:spacing w:after="157" w:line="240" w:lineRule="auto"/>
              <w:ind w:left="0" w:firstLine="0"/>
              <w:jc w:val="both"/>
              <w:rPr>
                <w:color w:val="auto"/>
                <w:sz w:val="20"/>
                <w:szCs w:val="20"/>
              </w:rPr>
            </w:pPr>
            <w:r>
              <w:rPr>
                <w:color w:val="auto"/>
                <w:sz w:val="20"/>
                <w:szCs w:val="20"/>
              </w:rPr>
              <w:t>NA</w:t>
            </w:r>
          </w:p>
        </w:tc>
        <w:tc>
          <w:tcPr>
            <w:tcW w:w="1381" w:type="dxa"/>
          </w:tcPr>
          <w:p w14:paraId="0CC0D03A"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 xml:space="preserve">Bird </w:t>
            </w:r>
            <w:r w:rsidRPr="00400BCD">
              <w:rPr>
                <w:color w:val="auto"/>
                <w:sz w:val="20"/>
                <w:szCs w:val="20"/>
              </w:rPr>
              <w:t>feed</w:t>
            </w:r>
          </w:p>
        </w:tc>
        <w:tc>
          <w:tcPr>
            <w:tcW w:w="1390" w:type="dxa"/>
          </w:tcPr>
          <w:p w14:paraId="5C00F6F1"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44E4CC65" w14:textId="77777777" w:rsidTr="00D55916">
        <w:trPr>
          <w:jc w:val="center"/>
        </w:trPr>
        <w:tc>
          <w:tcPr>
            <w:tcW w:w="1892" w:type="dxa"/>
          </w:tcPr>
          <w:p w14:paraId="4061274C"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J</w:t>
            </w:r>
            <w:r w:rsidRPr="00400BCD">
              <w:rPr>
                <w:color w:val="auto"/>
                <w:sz w:val="20"/>
                <w:szCs w:val="20"/>
              </w:rPr>
              <w:t xml:space="preserve">uly </w:t>
            </w:r>
            <w:r>
              <w:rPr>
                <w:color w:val="auto"/>
                <w:sz w:val="20"/>
                <w:szCs w:val="20"/>
              </w:rPr>
              <w:t xml:space="preserve">5, </w:t>
            </w:r>
            <w:r w:rsidRPr="00400BCD">
              <w:rPr>
                <w:color w:val="auto"/>
                <w:sz w:val="20"/>
                <w:szCs w:val="20"/>
              </w:rPr>
              <w:t>2012</w:t>
            </w:r>
          </w:p>
        </w:tc>
        <w:tc>
          <w:tcPr>
            <w:tcW w:w="1060" w:type="dxa"/>
          </w:tcPr>
          <w:p w14:paraId="6A2D68D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101</w:t>
            </w:r>
          </w:p>
        </w:tc>
        <w:tc>
          <w:tcPr>
            <w:tcW w:w="1133" w:type="dxa"/>
          </w:tcPr>
          <w:p w14:paraId="6B1B34CD"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0DC587A0"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144</w:t>
            </w:r>
          </w:p>
        </w:tc>
        <w:tc>
          <w:tcPr>
            <w:tcW w:w="1145" w:type="dxa"/>
          </w:tcPr>
          <w:p w14:paraId="6DF0AF02" w14:textId="77777777" w:rsidR="00531A91" w:rsidRPr="00B52EED" w:rsidRDefault="00531A91" w:rsidP="0001674B">
            <w:pPr>
              <w:spacing w:line="240" w:lineRule="auto"/>
              <w:rPr>
                <w:color w:val="auto"/>
                <w:sz w:val="20"/>
                <w:szCs w:val="20"/>
              </w:rPr>
            </w:pPr>
            <w:r>
              <w:rPr>
                <w:color w:val="auto"/>
                <w:sz w:val="20"/>
                <w:szCs w:val="20"/>
              </w:rPr>
              <w:t>4</w:t>
            </w:r>
          </w:p>
        </w:tc>
        <w:tc>
          <w:tcPr>
            <w:tcW w:w="1381" w:type="dxa"/>
          </w:tcPr>
          <w:p w14:paraId="4576CE2C" w14:textId="77777777" w:rsidR="00531A91" w:rsidRDefault="00531A91" w:rsidP="0001674B">
            <w:pPr>
              <w:spacing w:line="240" w:lineRule="auto"/>
            </w:pPr>
            <w:r w:rsidRPr="00B52EED">
              <w:rPr>
                <w:color w:val="auto"/>
                <w:sz w:val="20"/>
                <w:szCs w:val="20"/>
              </w:rPr>
              <w:t>Food (HPS confectionery)</w:t>
            </w:r>
          </w:p>
        </w:tc>
        <w:tc>
          <w:tcPr>
            <w:tcW w:w="1390" w:type="dxa"/>
            <w:vMerge w:val="restart"/>
          </w:tcPr>
          <w:p w14:paraId="79D03DEE"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18</w:t>
            </w:r>
            <w:r>
              <w:rPr>
                <w:color w:val="auto"/>
                <w:sz w:val="20"/>
                <w:szCs w:val="20"/>
              </w:rPr>
              <w:t>,</w:t>
            </w:r>
            <w:r w:rsidRPr="00400BCD">
              <w:rPr>
                <w:color w:val="auto"/>
                <w:sz w:val="20"/>
                <w:szCs w:val="20"/>
              </w:rPr>
              <w:t>000</w:t>
            </w:r>
          </w:p>
        </w:tc>
      </w:tr>
      <w:tr w:rsidR="00531A91" w:rsidRPr="00400BCD" w14:paraId="5B9199CB" w14:textId="77777777" w:rsidTr="00D55916">
        <w:trPr>
          <w:jc w:val="center"/>
        </w:trPr>
        <w:tc>
          <w:tcPr>
            <w:tcW w:w="1892" w:type="dxa"/>
          </w:tcPr>
          <w:p w14:paraId="18821F20"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J</w:t>
            </w:r>
            <w:r w:rsidRPr="00400BCD">
              <w:rPr>
                <w:color w:val="auto"/>
                <w:sz w:val="20"/>
                <w:szCs w:val="20"/>
              </w:rPr>
              <w:t>uly</w:t>
            </w:r>
            <w:r>
              <w:rPr>
                <w:color w:val="auto"/>
                <w:sz w:val="20"/>
                <w:szCs w:val="20"/>
              </w:rPr>
              <w:t xml:space="preserve"> 5, 2012</w:t>
            </w:r>
          </w:p>
        </w:tc>
        <w:tc>
          <w:tcPr>
            <w:tcW w:w="1060" w:type="dxa"/>
          </w:tcPr>
          <w:p w14:paraId="52F0DFB2"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30</w:t>
            </w:r>
          </w:p>
        </w:tc>
        <w:tc>
          <w:tcPr>
            <w:tcW w:w="1133" w:type="dxa"/>
          </w:tcPr>
          <w:p w14:paraId="7DC29E08"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2E35881A"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46</w:t>
            </w:r>
          </w:p>
        </w:tc>
        <w:tc>
          <w:tcPr>
            <w:tcW w:w="1145" w:type="dxa"/>
          </w:tcPr>
          <w:p w14:paraId="56B31633" w14:textId="77777777" w:rsidR="00531A91" w:rsidRPr="00B52EED" w:rsidRDefault="00531A91" w:rsidP="0001674B">
            <w:pPr>
              <w:spacing w:line="240" w:lineRule="auto"/>
              <w:rPr>
                <w:color w:val="auto"/>
                <w:sz w:val="20"/>
                <w:szCs w:val="20"/>
              </w:rPr>
            </w:pPr>
            <w:r>
              <w:rPr>
                <w:color w:val="auto"/>
                <w:sz w:val="20"/>
                <w:szCs w:val="20"/>
              </w:rPr>
              <w:t>4</w:t>
            </w:r>
          </w:p>
        </w:tc>
        <w:tc>
          <w:tcPr>
            <w:tcW w:w="1381" w:type="dxa"/>
          </w:tcPr>
          <w:p w14:paraId="2F678AAE" w14:textId="77777777" w:rsidR="00531A91" w:rsidRDefault="00531A91" w:rsidP="0001674B">
            <w:pPr>
              <w:spacing w:line="240" w:lineRule="auto"/>
            </w:pPr>
            <w:r w:rsidRPr="00B52EED">
              <w:rPr>
                <w:color w:val="auto"/>
                <w:sz w:val="20"/>
                <w:szCs w:val="20"/>
              </w:rPr>
              <w:t>Food (HPS confectionery)</w:t>
            </w:r>
          </w:p>
        </w:tc>
        <w:tc>
          <w:tcPr>
            <w:tcW w:w="1390" w:type="dxa"/>
            <w:vMerge/>
          </w:tcPr>
          <w:p w14:paraId="323FFB1F" w14:textId="77777777" w:rsidR="00531A91" w:rsidRPr="00400BCD" w:rsidRDefault="00531A91" w:rsidP="0001674B">
            <w:pPr>
              <w:spacing w:after="157" w:line="240" w:lineRule="auto"/>
              <w:ind w:left="0" w:firstLine="0"/>
              <w:jc w:val="both"/>
              <w:rPr>
                <w:color w:val="auto"/>
                <w:sz w:val="20"/>
                <w:szCs w:val="20"/>
              </w:rPr>
            </w:pPr>
          </w:p>
        </w:tc>
      </w:tr>
      <w:tr w:rsidR="00531A91" w:rsidRPr="00400BCD" w14:paraId="69AF4CBE" w14:textId="77777777" w:rsidTr="00D55916">
        <w:trPr>
          <w:jc w:val="center"/>
        </w:trPr>
        <w:tc>
          <w:tcPr>
            <w:tcW w:w="1892" w:type="dxa"/>
          </w:tcPr>
          <w:p w14:paraId="7BC5F029"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M</w:t>
            </w:r>
            <w:r w:rsidRPr="00400BCD">
              <w:rPr>
                <w:color w:val="auto"/>
                <w:sz w:val="20"/>
                <w:szCs w:val="20"/>
              </w:rPr>
              <w:t xml:space="preserve">arch </w:t>
            </w:r>
            <w:r>
              <w:rPr>
                <w:color w:val="auto"/>
                <w:sz w:val="20"/>
                <w:szCs w:val="20"/>
              </w:rPr>
              <w:t xml:space="preserve">17, </w:t>
            </w:r>
            <w:r w:rsidRPr="00400BCD">
              <w:rPr>
                <w:color w:val="auto"/>
                <w:sz w:val="20"/>
                <w:szCs w:val="20"/>
              </w:rPr>
              <w:t>2012</w:t>
            </w:r>
          </w:p>
        </w:tc>
        <w:tc>
          <w:tcPr>
            <w:tcW w:w="1060" w:type="dxa"/>
          </w:tcPr>
          <w:p w14:paraId="739B58EA"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25.6</w:t>
            </w:r>
          </w:p>
        </w:tc>
        <w:tc>
          <w:tcPr>
            <w:tcW w:w="1133" w:type="dxa"/>
          </w:tcPr>
          <w:p w14:paraId="29AF0B4F" w14:textId="77777777" w:rsidR="00531A91" w:rsidRPr="00400BCD" w:rsidRDefault="00531A91" w:rsidP="0001674B">
            <w:pPr>
              <w:spacing w:after="157" w:line="240" w:lineRule="auto"/>
              <w:ind w:left="0" w:firstLine="0"/>
              <w:jc w:val="both"/>
              <w:rPr>
                <w:color w:val="auto"/>
                <w:sz w:val="20"/>
                <w:szCs w:val="20"/>
              </w:rPr>
            </w:pPr>
            <w:r>
              <w:rPr>
                <w:color w:val="auto"/>
                <w:sz w:val="20"/>
                <w:szCs w:val="20"/>
              </w:rPr>
              <w:t>2</w:t>
            </w:r>
          </w:p>
        </w:tc>
        <w:tc>
          <w:tcPr>
            <w:tcW w:w="1157" w:type="dxa"/>
          </w:tcPr>
          <w:p w14:paraId="3B51AABE" w14:textId="77777777" w:rsidR="00531A91" w:rsidRPr="00400BCD" w:rsidRDefault="00531A91" w:rsidP="0001674B">
            <w:pPr>
              <w:spacing w:after="157" w:line="240" w:lineRule="auto"/>
              <w:ind w:left="0" w:firstLine="0"/>
              <w:jc w:val="both"/>
              <w:rPr>
                <w:color w:val="auto"/>
                <w:sz w:val="20"/>
                <w:szCs w:val="20"/>
              </w:rPr>
            </w:pPr>
            <w:r w:rsidRPr="00400BCD">
              <w:rPr>
                <w:color w:val="auto"/>
                <w:sz w:val="20"/>
                <w:szCs w:val="20"/>
              </w:rPr>
              <w:t>53.8</w:t>
            </w:r>
          </w:p>
        </w:tc>
        <w:tc>
          <w:tcPr>
            <w:tcW w:w="1145" w:type="dxa"/>
          </w:tcPr>
          <w:p w14:paraId="47101B15" w14:textId="77777777" w:rsidR="00531A91" w:rsidRPr="00B52EED" w:rsidRDefault="00531A91" w:rsidP="0001674B">
            <w:pPr>
              <w:spacing w:line="240" w:lineRule="auto"/>
              <w:rPr>
                <w:color w:val="auto"/>
                <w:sz w:val="20"/>
                <w:szCs w:val="20"/>
              </w:rPr>
            </w:pPr>
            <w:r>
              <w:rPr>
                <w:color w:val="auto"/>
                <w:sz w:val="20"/>
                <w:szCs w:val="20"/>
              </w:rPr>
              <w:t>4</w:t>
            </w:r>
          </w:p>
        </w:tc>
        <w:tc>
          <w:tcPr>
            <w:tcW w:w="1381" w:type="dxa"/>
          </w:tcPr>
          <w:p w14:paraId="4FEBC939" w14:textId="77777777" w:rsidR="00531A91" w:rsidRDefault="00531A91" w:rsidP="0001674B">
            <w:pPr>
              <w:spacing w:line="240" w:lineRule="auto"/>
            </w:pPr>
            <w:r w:rsidRPr="00B52EED">
              <w:rPr>
                <w:color w:val="auto"/>
                <w:sz w:val="20"/>
                <w:szCs w:val="20"/>
              </w:rPr>
              <w:t>Food (HPS confectionery)</w:t>
            </w:r>
          </w:p>
        </w:tc>
        <w:tc>
          <w:tcPr>
            <w:tcW w:w="1390" w:type="dxa"/>
          </w:tcPr>
          <w:p w14:paraId="23936C52" w14:textId="73E1A31D" w:rsidR="00531A91" w:rsidRPr="00400BCD" w:rsidRDefault="0087330B" w:rsidP="0001674B">
            <w:pPr>
              <w:spacing w:after="157" w:line="240" w:lineRule="auto"/>
              <w:ind w:left="0" w:firstLine="0"/>
              <w:jc w:val="both"/>
              <w:rPr>
                <w:color w:val="auto"/>
                <w:sz w:val="20"/>
                <w:szCs w:val="20"/>
              </w:rPr>
            </w:pPr>
            <w:r>
              <w:rPr>
                <w:color w:val="auto"/>
                <w:sz w:val="20"/>
                <w:szCs w:val="20"/>
              </w:rPr>
              <w:t>NA</w:t>
            </w:r>
          </w:p>
        </w:tc>
      </w:tr>
    </w:tbl>
    <w:p w14:paraId="052015C1" w14:textId="77777777" w:rsidR="00531A91" w:rsidRDefault="00531A91" w:rsidP="00531A91"/>
    <w:p w14:paraId="7412732B" w14:textId="09EFBED6" w:rsidR="003E36F3" w:rsidRDefault="003E36F3" w:rsidP="003E36F3">
      <w:pPr>
        <w:spacing w:after="157" w:line="360" w:lineRule="auto"/>
        <w:ind w:left="0" w:firstLine="0"/>
        <w:jc w:val="both"/>
      </w:pPr>
      <w:r w:rsidRPr="00E26D98">
        <w:t>In Senegal, an informal survey of roasted snack peanut</w:t>
      </w:r>
      <w:r w:rsidR="00C23B29">
        <w:t xml:space="preserve">s, groundnut oil and groundnut </w:t>
      </w:r>
      <w:r w:rsidRPr="00E26D98">
        <w:t>cake in several markets across Dakar and within the groundnut-growing region of the country, revealed aflatoxin levels ranging from 25 to 236 ppb</w:t>
      </w:r>
      <w:r w:rsidR="00993082">
        <w:t xml:space="preserve"> (Imes, </w:t>
      </w:r>
      <w:r w:rsidR="000B7871">
        <w:t xml:space="preserve">unpublished, </w:t>
      </w:r>
      <w:r w:rsidR="00993082">
        <w:t>undated)</w:t>
      </w:r>
      <w:r w:rsidR="00E26D98" w:rsidRPr="00E26D98">
        <w:t>.</w:t>
      </w:r>
    </w:p>
    <w:p w14:paraId="5D8C393D" w14:textId="2F361DA8" w:rsidR="00C23B29" w:rsidRPr="00573E53" w:rsidRDefault="002A3F9B" w:rsidP="00796B56">
      <w:pPr>
        <w:pStyle w:val="Heading3"/>
        <w:spacing w:line="480" w:lineRule="auto"/>
        <w:jc w:val="both"/>
        <w:rPr>
          <w:color w:val="auto"/>
        </w:rPr>
      </w:pPr>
      <w:bookmarkStart w:id="10" w:name="_Toc427672747"/>
      <w:r>
        <w:rPr>
          <w:rFonts w:eastAsia="Calibri"/>
        </w:rPr>
        <w:t>5</w:t>
      </w:r>
      <w:r w:rsidR="002D4A16" w:rsidRPr="00573E53">
        <w:rPr>
          <w:rFonts w:eastAsia="Calibri"/>
        </w:rPr>
        <w:t xml:space="preserve">.1.2 </w:t>
      </w:r>
      <w:r w:rsidR="00C23B29" w:rsidRPr="00573E53">
        <w:rPr>
          <w:rFonts w:eastAsia="Calibri"/>
        </w:rPr>
        <w:t xml:space="preserve">Direct evidence of aflatoxin </w:t>
      </w:r>
      <w:r w:rsidR="00D61E2D">
        <w:rPr>
          <w:rFonts w:eastAsia="Calibri"/>
        </w:rPr>
        <w:t xml:space="preserve">contamination </w:t>
      </w:r>
      <w:r w:rsidR="00C23B29" w:rsidRPr="00573E53">
        <w:rPr>
          <w:rFonts w:eastAsia="Calibri"/>
        </w:rPr>
        <w:t>in maize</w:t>
      </w:r>
      <w:bookmarkEnd w:id="10"/>
    </w:p>
    <w:p w14:paraId="64FB8CA7" w14:textId="2DC259CA" w:rsidR="003E36F3" w:rsidRPr="0062282E" w:rsidRDefault="003E36F3" w:rsidP="003E36F3">
      <w:pPr>
        <w:spacing w:after="157" w:line="360" w:lineRule="auto"/>
        <w:ind w:left="0" w:firstLine="0"/>
        <w:jc w:val="both"/>
        <w:rPr>
          <w:color w:val="FF0000"/>
        </w:rPr>
      </w:pPr>
      <w:r w:rsidRPr="003E36F3">
        <w:rPr>
          <w:color w:val="auto"/>
        </w:rPr>
        <w:t>The occurrence of aflatoxin in maize has not been reported in The Gambia</w:t>
      </w:r>
      <w:r w:rsidR="00613C69">
        <w:rPr>
          <w:color w:val="auto"/>
        </w:rPr>
        <w:t>. However,</w:t>
      </w:r>
      <w:r w:rsidR="00713D27">
        <w:rPr>
          <w:color w:val="auto"/>
        </w:rPr>
        <w:t xml:space="preserve"> </w:t>
      </w:r>
      <w:r w:rsidR="00AF7F21">
        <w:rPr>
          <w:color w:val="auto"/>
        </w:rPr>
        <w:t>i</w:t>
      </w:r>
      <w:r w:rsidRPr="003E36F3">
        <w:rPr>
          <w:color w:val="auto"/>
        </w:rPr>
        <w:t xml:space="preserve">n Benin, pre-harvest maize is reported to be contaminated with aflatoxins; stored maize contained </w:t>
      </w:r>
      <w:r w:rsidR="00051884" w:rsidRPr="003E36F3">
        <w:rPr>
          <w:color w:val="auto"/>
        </w:rPr>
        <w:t>A</w:t>
      </w:r>
      <w:r w:rsidR="00051884">
        <w:rPr>
          <w:color w:val="auto"/>
        </w:rPr>
        <w:t>F</w:t>
      </w:r>
      <w:r w:rsidRPr="003E36F3">
        <w:rPr>
          <w:color w:val="auto"/>
        </w:rPr>
        <w:t>B</w:t>
      </w:r>
      <w:r w:rsidRPr="003E36F3">
        <w:rPr>
          <w:color w:val="auto"/>
          <w:vertAlign w:val="subscript"/>
        </w:rPr>
        <w:t>1</w:t>
      </w:r>
      <w:r w:rsidRPr="003E36F3">
        <w:rPr>
          <w:color w:val="auto"/>
        </w:rPr>
        <w:t xml:space="preserve"> with levels up to 14 g/kg</w:t>
      </w:r>
      <w:r w:rsidR="004A055B">
        <w:rPr>
          <w:color w:val="auto"/>
        </w:rPr>
        <w:t xml:space="preserve"> (14,000,000 ppb)</w:t>
      </w:r>
      <w:r w:rsidRPr="003E36F3">
        <w:rPr>
          <w:color w:val="auto"/>
        </w:rPr>
        <w:t xml:space="preserve"> and </w:t>
      </w:r>
      <w:r w:rsidR="006C67E6">
        <w:rPr>
          <w:color w:val="auto"/>
        </w:rPr>
        <w:t>AF</w:t>
      </w:r>
      <w:r w:rsidRPr="003E36F3">
        <w:rPr>
          <w:color w:val="auto"/>
        </w:rPr>
        <w:t>G</w:t>
      </w:r>
      <w:r w:rsidRPr="003E36F3">
        <w:rPr>
          <w:color w:val="auto"/>
          <w:vertAlign w:val="subscript"/>
        </w:rPr>
        <w:t>1</w:t>
      </w:r>
      <w:r w:rsidRPr="003E36F3">
        <w:rPr>
          <w:color w:val="auto"/>
        </w:rPr>
        <w:t xml:space="preserve"> up </w:t>
      </w:r>
      <w:r w:rsidR="00A44B13">
        <w:rPr>
          <w:color w:val="auto"/>
        </w:rPr>
        <w:t xml:space="preserve">with </w:t>
      </w:r>
      <w:r w:rsidR="000726E4" w:rsidRPr="003E36F3">
        <w:rPr>
          <w:color w:val="auto"/>
        </w:rPr>
        <w:t xml:space="preserve">levels </w:t>
      </w:r>
      <w:r w:rsidRPr="003E36F3">
        <w:rPr>
          <w:color w:val="auto"/>
        </w:rPr>
        <w:t>to 58 g/kg</w:t>
      </w:r>
      <w:r w:rsidR="004A055B">
        <w:rPr>
          <w:color w:val="auto"/>
        </w:rPr>
        <w:t xml:space="preserve"> 58,000,000 ppb)</w:t>
      </w:r>
      <w:r w:rsidR="00613C69">
        <w:rPr>
          <w:color w:val="auto"/>
        </w:rPr>
        <w:t>. M</w:t>
      </w:r>
      <w:r w:rsidRPr="003E36F3">
        <w:rPr>
          <w:color w:val="auto"/>
        </w:rPr>
        <w:t xml:space="preserve">aize samples </w:t>
      </w:r>
      <w:r w:rsidRPr="003E36F3">
        <w:rPr>
          <w:color w:val="auto"/>
        </w:rPr>
        <w:lastRenderedPageBreak/>
        <w:t xml:space="preserve">collected from silos and warehouses in Ghana </w:t>
      </w:r>
      <w:r w:rsidR="00613C69">
        <w:rPr>
          <w:color w:val="auto"/>
        </w:rPr>
        <w:t xml:space="preserve">also </w:t>
      </w:r>
      <w:r w:rsidRPr="003E36F3">
        <w:rPr>
          <w:color w:val="auto"/>
        </w:rPr>
        <w:t xml:space="preserve">contained aflatoxins at levels ranging from </w:t>
      </w:r>
      <w:r w:rsidR="004A055B">
        <w:rPr>
          <w:color w:val="auto"/>
        </w:rPr>
        <w:t xml:space="preserve">20 </w:t>
      </w:r>
      <w:r w:rsidRPr="003E36F3">
        <w:rPr>
          <w:color w:val="auto"/>
        </w:rPr>
        <w:t>to 355 g/kg</w:t>
      </w:r>
      <w:r w:rsidR="004A055B">
        <w:rPr>
          <w:color w:val="auto"/>
        </w:rPr>
        <w:t xml:space="preserve"> (20,000,000 to 355,000,000 ppb)</w:t>
      </w:r>
      <w:r w:rsidRPr="003E36F3">
        <w:rPr>
          <w:color w:val="auto"/>
        </w:rPr>
        <w:t xml:space="preserve"> (</w:t>
      </w:r>
      <w:r w:rsidRPr="003E36F3">
        <w:rPr>
          <w:rFonts w:eastAsia="Arial"/>
          <w:color w:val="auto"/>
        </w:rPr>
        <w:t>Bankole, 2003)</w:t>
      </w:r>
      <w:r w:rsidRPr="003E36F3">
        <w:rPr>
          <w:color w:val="auto"/>
        </w:rPr>
        <w:t>.</w:t>
      </w:r>
      <w:r>
        <w:rPr>
          <w:color w:val="auto"/>
        </w:rPr>
        <w:t xml:space="preserve"> In Senegal, m</w:t>
      </w:r>
      <w:r w:rsidRPr="003E36F3">
        <w:t>aize samples from the Nioro zone</w:t>
      </w:r>
      <w:r w:rsidR="00344D5E">
        <w:t xml:space="preserve"> (adjacent to the North Bank Region of The Gambia)</w:t>
      </w:r>
      <w:r w:rsidRPr="003E36F3">
        <w:t xml:space="preserve"> located in the groundnut basin, where crops are commonly rotated between groundnuts and maize</w:t>
      </w:r>
      <w:r w:rsidR="00613C69">
        <w:t xml:space="preserve"> were also contaminated</w:t>
      </w:r>
      <w:r w:rsidRPr="003E36F3">
        <w:t>. This study found samples in Nioro with extremely high levels at 852.5 ppb</w:t>
      </w:r>
      <w:r>
        <w:t xml:space="preserve"> (</w:t>
      </w:r>
      <w:r w:rsidR="00993082" w:rsidRPr="00993082">
        <w:rPr>
          <w:color w:val="auto"/>
        </w:rPr>
        <w:t xml:space="preserve">Imes, </w:t>
      </w:r>
      <w:r w:rsidR="000B7871">
        <w:rPr>
          <w:color w:val="auto"/>
        </w:rPr>
        <w:t xml:space="preserve">unpublished, </w:t>
      </w:r>
      <w:r w:rsidR="00993082" w:rsidRPr="00993082">
        <w:rPr>
          <w:color w:val="auto"/>
        </w:rPr>
        <w:t>undated</w:t>
      </w:r>
      <w:r w:rsidRPr="00993082">
        <w:rPr>
          <w:color w:val="auto"/>
        </w:rPr>
        <w:t>)</w:t>
      </w:r>
      <w:r w:rsidRPr="003E36F3">
        <w:t>.</w:t>
      </w:r>
    </w:p>
    <w:p w14:paraId="002C1EF7" w14:textId="4A1C738C" w:rsidR="000F77CC" w:rsidRPr="00573E53" w:rsidRDefault="002A3F9B" w:rsidP="001B26EC">
      <w:pPr>
        <w:pStyle w:val="Heading3"/>
        <w:spacing w:line="480" w:lineRule="auto"/>
        <w:jc w:val="both"/>
        <w:rPr>
          <w:color w:val="auto"/>
        </w:rPr>
      </w:pPr>
      <w:bookmarkStart w:id="11" w:name="_Toc427672748"/>
      <w:r>
        <w:rPr>
          <w:rFonts w:eastAsia="Calibri"/>
        </w:rPr>
        <w:t>5</w:t>
      </w:r>
      <w:r w:rsidR="002D4A16" w:rsidRPr="00573E53">
        <w:rPr>
          <w:rFonts w:eastAsia="Calibri"/>
        </w:rPr>
        <w:t xml:space="preserve">.1.3 </w:t>
      </w:r>
      <w:r w:rsidR="000F77CC" w:rsidRPr="00573E53">
        <w:rPr>
          <w:rFonts w:eastAsia="Calibri"/>
        </w:rPr>
        <w:t>Direct evidence of aflatoxin</w:t>
      </w:r>
      <w:r w:rsidR="00D61E2D">
        <w:rPr>
          <w:rFonts w:eastAsia="Calibri"/>
        </w:rPr>
        <w:t xml:space="preserve"> contamination</w:t>
      </w:r>
      <w:r w:rsidR="000F77CC" w:rsidRPr="00573E53">
        <w:rPr>
          <w:rFonts w:eastAsia="Calibri"/>
        </w:rPr>
        <w:t xml:space="preserve"> in rice</w:t>
      </w:r>
      <w:bookmarkEnd w:id="11"/>
    </w:p>
    <w:p w14:paraId="2918C080" w14:textId="086A5BEB" w:rsidR="00E26D98" w:rsidRPr="0001674B" w:rsidRDefault="00E26D98" w:rsidP="00E26D98">
      <w:pPr>
        <w:pStyle w:val="ListParagraph"/>
        <w:spacing w:after="200" w:line="360" w:lineRule="auto"/>
        <w:ind w:left="0" w:hanging="11"/>
        <w:jc w:val="both"/>
        <w:rPr>
          <w:color w:val="auto"/>
        </w:rPr>
      </w:pPr>
      <w:r w:rsidRPr="0001674B">
        <w:rPr>
          <w:color w:val="auto"/>
        </w:rPr>
        <w:t xml:space="preserve">There is no data </w:t>
      </w:r>
      <w:r w:rsidR="00344D5E">
        <w:rPr>
          <w:color w:val="auto"/>
        </w:rPr>
        <w:t xml:space="preserve">in The Gambia </w:t>
      </w:r>
      <w:r w:rsidRPr="0001674B">
        <w:rPr>
          <w:color w:val="auto"/>
        </w:rPr>
        <w:t xml:space="preserve">on aflatoxin contamination </w:t>
      </w:r>
      <w:r w:rsidR="003B2E68">
        <w:rPr>
          <w:color w:val="auto"/>
        </w:rPr>
        <w:t>of</w:t>
      </w:r>
      <w:r w:rsidRPr="0001674B">
        <w:rPr>
          <w:color w:val="auto"/>
        </w:rPr>
        <w:t xml:space="preserve"> </w:t>
      </w:r>
      <w:r w:rsidR="00485E36">
        <w:rPr>
          <w:color w:val="auto"/>
        </w:rPr>
        <w:t xml:space="preserve">raw </w:t>
      </w:r>
      <w:r w:rsidRPr="0001674B">
        <w:rPr>
          <w:color w:val="auto"/>
        </w:rPr>
        <w:t>rice</w:t>
      </w:r>
      <w:r w:rsidR="00775DAA">
        <w:rPr>
          <w:color w:val="auto"/>
        </w:rPr>
        <w:t>;</w:t>
      </w:r>
      <w:r w:rsidRPr="0001674B">
        <w:rPr>
          <w:color w:val="auto"/>
        </w:rPr>
        <w:t xml:space="preserve"> however rice samples analyse</w:t>
      </w:r>
      <w:r w:rsidR="00441A1C">
        <w:rPr>
          <w:color w:val="auto"/>
        </w:rPr>
        <w:t>d</w:t>
      </w:r>
      <w:r w:rsidRPr="0001674B">
        <w:rPr>
          <w:color w:val="auto"/>
        </w:rPr>
        <w:t xml:space="preserve"> in Nigeria contained </w:t>
      </w:r>
      <w:r w:rsidR="00441A1C">
        <w:rPr>
          <w:color w:val="auto"/>
        </w:rPr>
        <w:t>AF</w:t>
      </w:r>
      <w:r w:rsidRPr="0001674B">
        <w:rPr>
          <w:color w:val="auto"/>
        </w:rPr>
        <w:t>B</w:t>
      </w:r>
      <w:r w:rsidRPr="0001674B">
        <w:rPr>
          <w:color w:val="auto"/>
          <w:vertAlign w:val="subscript"/>
        </w:rPr>
        <w:t xml:space="preserve">1 </w:t>
      </w:r>
      <w:r w:rsidRPr="0001674B">
        <w:rPr>
          <w:color w:val="auto"/>
        </w:rPr>
        <w:t>within the range of 37.26</w:t>
      </w:r>
      <w:r w:rsidR="00B029AE">
        <w:t>–</w:t>
      </w:r>
      <w:r w:rsidRPr="0001674B">
        <w:rPr>
          <w:color w:val="auto"/>
        </w:rPr>
        <w:t xml:space="preserve">113.2 </w:t>
      </w:r>
      <w:r w:rsidR="004A055B">
        <w:rPr>
          <w:color w:val="auto"/>
        </w:rPr>
        <w:t>ppb</w:t>
      </w:r>
      <w:r w:rsidRPr="0001674B">
        <w:rPr>
          <w:color w:val="auto"/>
        </w:rPr>
        <w:t xml:space="preserve"> </w:t>
      </w:r>
      <w:r w:rsidR="004A055B">
        <w:rPr>
          <w:color w:val="auto"/>
        </w:rPr>
        <w:t>(</w:t>
      </w:r>
      <w:r w:rsidRPr="0001674B">
        <w:rPr>
          <w:color w:val="auto"/>
        </w:rPr>
        <w:t>(</w:t>
      </w:r>
      <w:r w:rsidR="00DE045C">
        <w:rPr>
          <w:color w:val="auto"/>
        </w:rPr>
        <w:t>Makun</w:t>
      </w:r>
      <w:r w:rsidRPr="0001674B">
        <w:rPr>
          <w:color w:val="auto"/>
        </w:rPr>
        <w:t xml:space="preserve"> et al</w:t>
      </w:r>
      <w:r w:rsidR="00DE045C">
        <w:rPr>
          <w:color w:val="auto"/>
        </w:rPr>
        <w:t>.</w:t>
      </w:r>
      <w:r w:rsidR="00233006">
        <w:rPr>
          <w:color w:val="auto"/>
        </w:rPr>
        <w:t>,</w:t>
      </w:r>
      <w:r w:rsidRPr="0001674B">
        <w:rPr>
          <w:color w:val="auto"/>
        </w:rPr>
        <w:t xml:space="preserve"> 2014). In Iran, rice bran k</w:t>
      </w:r>
      <w:r w:rsidR="00344D5E">
        <w:rPr>
          <w:color w:val="auto"/>
        </w:rPr>
        <w:t>ept in storage for one year was</w:t>
      </w:r>
      <w:r w:rsidRPr="0001674B">
        <w:rPr>
          <w:color w:val="auto"/>
        </w:rPr>
        <w:t xml:space="preserve"> reported to contain aflatoxins up to 17.53 </w:t>
      </w:r>
      <w:r w:rsidR="00032DF6">
        <w:rPr>
          <w:color w:val="auto"/>
        </w:rPr>
        <w:t>ppb,</w:t>
      </w:r>
      <w:r w:rsidRPr="0001674B">
        <w:rPr>
          <w:color w:val="auto"/>
        </w:rPr>
        <w:t xml:space="preserve"> while fresh samples (storage time</w:t>
      </w:r>
      <w:r w:rsidR="000C1744">
        <w:rPr>
          <w:color w:val="auto"/>
        </w:rPr>
        <w:t xml:space="preserve"> not indicated</w:t>
      </w:r>
      <w:r w:rsidRPr="0001674B">
        <w:rPr>
          <w:color w:val="auto"/>
        </w:rPr>
        <w:t>) contained</w:t>
      </w:r>
      <w:r w:rsidR="00A44B13">
        <w:rPr>
          <w:color w:val="auto"/>
        </w:rPr>
        <w:t xml:space="preserve"> </w:t>
      </w:r>
      <w:r w:rsidRPr="0001674B">
        <w:rPr>
          <w:color w:val="auto"/>
        </w:rPr>
        <w:t xml:space="preserve">3.43 </w:t>
      </w:r>
      <w:r w:rsidR="00A44B13">
        <w:rPr>
          <w:color w:val="auto"/>
        </w:rPr>
        <w:t>to</w:t>
      </w:r>
      <w:r w:rsidR="004A055B">
        <w:rPr>
          <w:color w:val="auto"/>
        </w:rPr>
        <w:t xml:space="preserve"> </w:t>
      </w:r>
      <w:r w:rsidRPr="0001674B">
        <w:rPr>
          <w:color w:val="auto"/>
        </w:rPr>
        <w:t xml:space="preserve">18.7 </w:t>
      </w:r>
      <w:r w:rsidR="004A055B">
        <w:rPr>
          <w:color w:val="auto"/>
        </w:rPr>
        <w:t xml:space="preserve">ppb </w:t>
      </w:r>
      <w:r w:rsidRPr="0001674B">
        <w:rPr>
          <w:color w:val="auto"/>
        </w:rPr>
        <w:t>(Fatemeh Zaboli et al</w:t>
      </w:r>
      <w:r w:rsidR="004568F6">
        <w:rPr>
          <w:color w:val="auto"/>
        </w:rPr>
        <w:t>.</w:t>
      </w:r>
      <w:r w:rsidRPr="0001674B">
        <w:rPr>
          <w:color w:val="auto"/>
        </w:rPr>
        <w:t xml:space="preserve">, 2010).  </w:t>
      </w:r>
    </w:p>
    <w:p w14:paraId="6FD4F420" w14:textId="24B2F71C" w:rsidR="000F77CC" w:rsidRPr="00573E53" w:rsidRDefault="002A3F9B" w:rsidP="00A72DFD">
      <w:pPr>
        <w:pStyle w:val="Heading3"/>
        <w:spacing w:line="480" w:lineRule="auto"/>
        <w:jc w:val="both"/>
      </w:pPr>
      <w:bookmarkStart w:id="12" w:name="_Toc427672749"/>
      <w:r>
        <w:t>5</w:t>
      </w:r>
      <w:r w:rsidR="002D4A16" w:rsidRPr="00573E53">
        <w:t xml:space="preserve">.1.4 </w:t>
      </w:r>
      <w:r w:rsidR="000F77CC" w:rsidRPr="00573E53">
        <w:t>Aflatoxin contamination in cooked foods</w:t>
      </w:r>
      <w:bookmarkEnd w:id="12"/>
    </w:p>
    <w:p w14:paraId="0DE57C57" w14:textId="1D07B6C2" w:rsidR="00E61D71" w:rsidRPr="009231BB" w:rsidRDefault="00E61D71" w:rsidP="00E61D71">
      <w:pPr>
        <w:spacing w:after="157" w:line="360" w:lineRule="auto"/>
        <w:ind w:left="0" w:firstLine="0"/>
        <w:jc w:val="both"/>
      </w:pPr>
      <w:r w:rsidRPr="009231BB">
        <w:t xml:space="preserve">An aflatoxin-specific monoclonal antibody-based </w:t>
      </w:r>
      <w:r w:rsidR="00703529" w:rsidRPr="009231BB">
        <w:t>imm</w:t>
      </w:r>
      <w:r w:rsidR="00E844B6">
        <w:t>u</w:t>
      </w:r>
      <w:r w:rsidR="00703529" w:rsidRPr="009231BB">
        <w:t>noa</w:t>
      </w:r>
      <w:r w:rsidR="00B36AEB">
        <w:t>f</w:t>
      </w:r>
      <w:r w:rsidR="00703529" w:rsidRPr="009231BB">
        <w:t>finity</w:t>
      </w:r>
      <w:r w:rsidRPr="009231BB">
        <w:t xml:space="preserve"> chromatography method was developed and used for the rapid </w:t>
      </w:r>
      <w:r w:rsidR="006402A5">
        <w:t>screening</w:t>
      </w:r>
      <w:r w:rsidR="006402A5" w:rsidRPr="009231BB">
        <w:t xml:space="preserve"> </w:t>
      </w:r>
      <w:r w:rsidRPr="009231BB">
        <w:t>of aflatoxins from a variety of cooked foods in The Gambia (Hudson et</w:t>
      </w:r>
      <w:r w:rsidR="004D6A89">
        <w:t xml:space="preserve"> </w:t>
      </w:r>
      <w:r w:rsidRPr="009231BB">
        <w:t>al., 1992). The aflatoxin levels are presented in Table 4 below. The results show</w:t>
      </w:r>
      <w:r w:rsidR="00016BAF">
        <w:t>ed</w:t>
      </w:r>
      <w:r w:rsidRPr="009231BB">
        <w:t xml:space="preserve"> that groundnut sauces </w:t>
      </w:r>
      <w:r w:rsidR="00016BAF" w:rsidRPr="009231BB">
        <w:t>ha</w:t>
      </w:r>
      <w:r w:rsidR="00016BAF">
        <w:t>d</w:t>
      </w:r>
      <w:r w:rsidR="00016BAF" w:rsidRPr="009231BB">
        <w:t xml:space="preserve"> </w:t>
      </w:r>
      <w:r w:rsidRPr="009231BB">
        <w:t>the highest levels of contamination (19</w:t>
      </w:r>
      <w:r w:rsidR="0009415C">
        <w:t>–</w:t>
      </w:r>
      <w:r w:rsidRPr="009231BB">
        <w:t>943 ppb with a mean of 162</w:t>
      </w:r>
      <w:r w:rsidR="00C04833">
        <w:t>ppb</w:t>
      </w:r>
      <w:r w:rsidRPr="009231BB">
        <w:t>)</w:t>
      </w:r>
    </w:p>
    <w:p w14:paraId="1D381311" w14:textId="277B1DCC" w:rsidR="00E61D71" w:rsidRPr="009231BB" w:rsidRDefault="00E26D98" w:rsidP="00E55BBA">
      <w:pPr>
        <w:spacing w:after="0" w:line="480" w:lineRule="auto"/>
        <w:ind w:left="0" w:firstLine="0"/>
        <w:jc w:val="both"/>
      </w:pPr>
      <w:r>
        <w:rPr>
          <w:b/>
        </w:rPr>
        <w:t xml:space="preserve">       </w:t>
      </w:r>
      <w:r w:rsidR="00E61D71" w:rsidRPr="009231BB">
        <w:rPr>
          <w:b/>
        </w:rPr>
        <w:t xml:space="preserve">Table 4. Aflatoxin </w:t>
      </w:r>
      <w:r w:rsidR="0069359C">
        <w:rPr>
          <w:b/>
        </w:rPr>
        <w:t>l</w:t>
      </w:r>
      <w:r w:rsidR="00E61D71" w:rsidRPr="009231BB">
        <w:rPr>
          <w:b/>
        </w:rPr>
        <w:t xml:space="preserve">evels in </w:t>
      </w:r>
      <w:r w:rsidR="0069359C">
        <w:rPr>
          <w:b/>
        </w:rPr>
        <w:t>c</w:t>
      </w:r>
      <w:r w:rsidR="00E61D71" w:rsidRPr="009231BB">
        <w:rPr>
          <w:b/>
        </w:rPr>
        <w:t xml:space="preserve">ooked </w:t>
      </w:r>
      <w:r w:rsidR="0069359C">
        <w:rPr>
          <w:b/>
        </w:rPr>
        <w:t>f</w:t>
      </w:r>
      <w:r w:rsidR="00E61D71" w:rsidRPr="009231BB">
        <w:rPr>
          <w:b/>
        </w:rPr>
        <w:t xml:space="preserve">oods </w:t>
      </w:r>
      <w:r w:rsidR="0069359C">
        <w:rPr>
          <w:b/>
        </w:rPr>
        <w:t xml:space="preserve">from various sources </w:t>
      </w:r>
      <w:r w:rsidR="00E61D71" w:rsidRPr="009231BB">
        <w:rPr>
          <w:b/>
        </w:rPr>
        <w:t>in The Gambia</w:t>
      </w:r>
    </w:p>
    <w:tbl>
      <w:tblPr>
        <w:tblStyle w:val="TableGrid0"/>
        <w:tblW w:w="0" w:type="auto"/>
        <w:tblInd w:w="370" w:type="dxa"/>
        <w:tblLook w:val="04A0" w:firstRow="1" w:lastRow="0" w:firstColumn="1" w:lastColumn="0" w:noHBand="0" w:noVBand="1"/>
      </w:tblPr>
      <w:tblGrid>
        <w:gridCol w:w="3010"/>
        <w:gridCol w:w="3010"/>
        <w:gridCol w:w="3011"/>
      </w:tblGrid>
      <w:tr w:rsidR="00E61D71" w:rsidRPr="009231BB" w14:paraId="2A2C89EA" w14:textId="77777777" w:rsidTr="00FE0B3E">
        <w:tc>
          <w:tcPr>
            <w:tcW w:w="2903" w:type="dxa"/>
          </w:tcPr>
          <w:p w14:paraId="0B40229C" w14:textId="77777777" w:rsidR="00E61D71" w:rsidRPr="009231BB" w:rsidRDefault="00E61D71" w:rsidP="0001674B">
            <w:pPr>
              <w:spacing w:after="157" w:line="240" w:lineRule="auto"/>
              <w:ind w:left="0" w:firstLine="0"/>
              <w:jc w:val="both"/>
            </w:pPr>
            <w:r w:rsidRPr="009231BB">
              <w:t>Samples (cooked foods)</w:t>
            </w:r>
          </w:p>
        </w:tc>
        <w:tc>
          <w:tcPr>
            <w:tcW w:w="2879" w:type="dxa"/>
          </w:tcPr>
          <w:p w14:paraId="367C6D53" w14:textId="77777777" w:rsidR="00E61D71" w:rsidRPr="009231BB" w:rsidRDefault="00E61D71" w:rsidP="0001674B">
            <w:pPr>
              <w:spacing w:after="157" w:line="240" w:lineRule="auto"/>
              <w:ind w:left="0" w:firstLine="0"/>
              <w:jc w:val="both"/>
            </w:pPr>
            <w:r w:rsidRPr="009231BB">
              <w:t>Range (ppb)</w:t>
            </w:r>
          </w:p>
        </w:tc>
        <w:tc>
          <w:tcPr>
            <w:tcW w:w="2879" w:type="dxa"/>
          </w:tcPr>
          <w:p w14:paraId="5E7ADAE6" w14:textId="77777777" w:rsidR="00E61D71" w:rsidRPr="009231BB" w:rsidRDefault="00E61D71" w:rsidP="0001674B">
            <w:pPr>
              <w:spacing w:after="157" w:line="240" w:lineRule="auto"/>
              <w:ind w:left="0" w:firstLine="0"/>
              <w:jc w:val="both"/>
            </w:pPr>
            <w:r w:rsidRPr="009231BB">
              <w:t>Mean (ppb)</w:t>
            </w:r>
          </w:p>
        </w:tc>
      </w:tr>
      <w:tr w:rsidR="00E61D71" w:rsidRPr="009231BB" w14:paraId="4F526842" w14:textId="77777777" w:rsidTr="00FE0B3E">
        <w:tc>
          <w:tcPr>
            <w:tcW w:w="3010" w:type="dxa"/>
          </w:tcPr>
          <w:p w14:paraId="09B3A01E" w14:textId="77777777" w:rsidR="00E61D71" w:rsidRPr="009231BB" w:rsidRDefault="00E61D71" w:rsidP="0001674B">
            <w:pPr>
              <w:spacing w:after="157" w:line="240" w:lineRule="auto"/>
              <w:ind w:left="0" w:firstLine="0"/>
              <w:jc w:val="both"/>
            </w:pPr>
            <w:r w:rsidRPr="009231BB">
              <w:t>Groundnut sauces</w:t>
            </w:r>
          </w:p>
        </w:tc>
        <w:tc>
          <w:tcPr>
            <w:tcW w:w="3010" w:type="dxa"/>
          </w:tcPr>
          <w:p w14:paraId="4B1244A9" w14:textId="77777777" w:rsidR="00E61D71" w:rsidRPr="009231BB" w:rsidRDefault="00E61D71" w:rsidP="0001674B">
            <w:pPr>
              <w:spacing w:after="157" w:line="240" w:lineRule="auto"/>
              <w:ind w:left="0" w:firstLine="0"/>
              <w:jc w:val="both"/>
            </w:pPr>
            <w:r w:rsidRPr="009231BB">
              <w:t>19 – 943</w:t>
            </w:r>
          </w:p>
        </w:tc>
        <w:tc>
          <w:tcPr>
            <w:tcW w:w="3011" w:type="dxa"/>
          </w:tcPr>
          <w:p w14:paraId="16E0F637" w14:textId="77777777" w:rsidR="00E61D71" w:rsidRPr="009231BB" w:rsidRDefault="00E61D71" w:rsidP="0001674B">
            <w:pPr>
              <w:spacing w:after="157" w:line="240" w:lineRule="auto"/>
              <w:ind w:left="0" w:firstLine="0"/>
              <w:jc w:val="both"/>
            </w:pPr>
            <w:r w:rsidRPr="009231BB">
              <w:t>162</w:t>
            </w:r>
          </w:p>
        </w:tc>
      </w:tr>
      <w:tr w:rsidR="00E61D71" w:rsidRPr="009231BB" w14:paraId="3395B75B" w14:textId="77777777" w:rsidTr="00FE0B3E">
        <w:tc>
          <w:tcPr>
            <w:tcW w:w="3010" w:type="dxa"/>
          </w:tcPr>
          <w:p w14:paraId="2776825F" w14:textId="77777777" w:rsidR="00E61D71" w:rsidRPr="009231BB" w:rsidRDefault="00E61D71" w:rsidP="0001674B">
            <w:pPr>
              <w:spacing w:after="157" w:line="240" w:lineRule="auto"/>
              <w:ind w:left="0" w:firstLine="0"/>
              <w:jc w:val="both"/>
            </w:pPr>
            <w:r w:rsidRPr="009231BB">
              <w:t>Millet</w:t>
            </w:r>
          </w:p>
        </w:tc>
        <w:tc>
          <w:tcPr>
            <w:tcW w:w="3010" w:type="dxa"/>
          </w:tcPr>
          <w:p w14:paraId="08743A8D" w14:textId="4BFAF0D7" w:rsidR="00E61D71" w:rsidRPr="009231BB" w:rsidRDefault="00E61D71" w:rsidP="0001674B">
            <w:pPr>
              <w:spacing w:after="157" w:line="240" w:lineRule="auto"/>
              <w:ind w:left="0" w:firstLine="0"/>
              <w:jc w:val="both"/>
            </w:pPr>
            <w:r w:rsidRPr="009231BB">
              <w:t>1</w:t>
            </w:r>
            <w:r w:rsidR="009E181E">
              <w:t xml:space="preserve"> – </w:t>
            </w:r>
            <w:r w:rsidRPr="009231BB">
              <w:t>27</w:t>
            </w:r>
          </w:p>
        </w:tc>
        <w:tc>
          <w:tcPr>
            <w:tcW w:w="3011" w:type="dxa"/>
          </w:tcPr>
          <w:p w14:paraId="6DF6E400" w14:textId="77777777" w:rsidR="00E61D71" w:rsidRPr="009231BB" w:rsidRDefault="00E61D71" w:rsidP="0001674B">
            <w:pPr>
              <w:spacing w:after="157" w:line="240" w:lineRule="auto"/>
              <w:ind w:left="0" w:firstLine="0"/>
              <w:jc w:val="both"/>
            </w:pPr>
            <w:r w:rsidRPr="009231BB">
              <w:t>14</w:t>
            </w:r>
          </w:p>
        </w:tc>
      </w:tr>
      <w:tr w:rsidR="00E61D71" w:rsidRPr="009231BB" w14:paraId="153C3492" w14:textId="77777777" w:rsidTr="00FE0B3E">
        <w:tc>
          <w:tcPr>
            <w:tcW w:w="3010" w:type="dxa"/>
          </w:tcPr>
          <w:p w14:paraId="11A7F282" w14:textId="77777777" w:rsidR="00E61D71" w:rsidRPr="009231BB" w:rsidRDefault="00E61D71" w:rsidP="0001674B">
            <w:pPr>
              <w:spacing w:after="157" w:line="240" w:lineRule="auto"/>
              <w:ind w:left="0" w:firstLine="0"/>
              <w:jc w:val="both"/>
            </w:pPr>
            <w:r w:rsidRPr="009231BB">
              <w:t>Sorghum</w:t>
            </w:r>
          </w:p>
        </w:tc>
        <w:tc>
          <w:tcPr>
            <w:tcW w:w="3010" w:type="dxa"/>
          </w:tcPr>
          <w:p w14:paraId="730F0D89" w14:textId="74F64311" w:rsidR="00E61D71" w:rsidRPr="009231BB" w:rsidRDefault="00E61D71" w:rsidP="009E181E">
            <w:pPr>
              <w:spacing w:after="157" w:line="240" w:lineRule="auto"/>
              <w:ind w:left="0" w:firstLine="0"/>
              <w:jc w:val="both"/>
            </w:pPr>
            <w:r w:rsidRPr="009231BB">
              <w:t xml:space="preserve">2 </w:t>
            </w:r>
            <w:r w:rsidR="009E181E">
              <w:t>–</w:t>
            </w:r>
            <w:r w:rsidRPr="009231BB">
              <w:t xml:space="preserve"> 16</w:t>
            </w:r>
          </w:p>
        </w:tc>
        <w:tc>
          <w:tcPr>
            <w:tcW w:w="3011" w:type="dxa"/>
          </w:tcPr>
          <w:p w14:paraId="23873656" w14:textId="77777777" w:rsidR="00E61D71" w:rsidRPr="009231BB" w:rsidRDefault="00E61D71" w:rsidP="0001674B">
            <w:pPr>
              <w:spacing w:after="157" w:line="240" w:lineRule="auto"/>
              <w:ind w:left="0" w:firstLine="0"/>
              <w:jc w:val="both"/>
            </w:pPr>
            <w:r w:rsidRPr="009231BB">
              <w:t>9</w:t>
            </w:r>
          </w:p>
        </w:tc>
      </w:tr>
      <w:tr w:rsidR="00E61D71" w:rsidRPr="009231BB" w14:paraId="556FB22D" w14:textId="77777777" w:rsidTr="00FE0B3E">
        <w:tc>
          <w:tcPr>
            <w:tcW w:w="3010" w:type="dxa"/>
          </w:tcPr>
          <w:p w14:paraId="41B988C6" w14:textId="77777777" w:rsidR="00E61D71" w:rsidRPr="009231BB" w:rsidRDefault="00E61D71" w:rsidP="0001674B">
            <w:pPr>
              <w:spacing w:after="157" w:line="240" w:lineRule="auto"/>
              <w:ind w:left="0" w:firstLine="0"/>
              <w:jc w:val="both"/>
            </w:pPr>
            <w:r w:rsidRPr="009231BB">
              <w:t>Rice</w:t>
            </w:r>
          </w:p>
        </w:tc>
        <w:tc>
          <w:tcPr>
            <w:tcW w:w="3010" w:type="dxa"/>
          </w:tcPr>
          <w:p w14:paraId="05C0F591" w14:textId="2677D0A6" w:rsidR="00E61D71" w:rsidRPr="009231BB" w:rsidRDefault="00E61D71" w:rsidP="0001674B">
            <w:pPr>
              <w:spacing w:after="157" w:line="240" w:lineRule="auto"/>
              <w:ind w:left="0" w:firstLine="0"/>
              <w:jc w:val="both"/>
            </w:pPr>
            <w:r w:rsidRPr="009231BB">
              <w:t xml:space="preserve">2 </w:t>
            </w:r>
            <w:r w:rsidR="009E181E">
              <w:t>–</w:t>
            </w:r>
            <w:r w:rsidRPr="009231BB">
              <w:t xml:space="preserve"> 19</w:t>
            </w:r>
          </w:p>
        </w:tc>
        <w:tc>
          <w:tcPr>
            <w:tcW w:w="3011" w:type="dxa"/>
          </w:tcPr>
          <w:p w14:paraId="569962CA" w14:textId="77777777" w:rsidR="00E61D71" w:rsidRPr="009231BB" w:rsidRDefault="00E61D71" w:rsidP="0001674B">
            <w:pPr>
              <w:spacing w:after="157" w:line="240" w:lineRule="auto"/>
              <w:ind w:left="0" w:firstLine="0"/>
              <w:jc w:val="both"/>
            </w:pPr>
            <w:r w:rsidRPr="009231BB">
              <w:t>10.5</w:t>
            </w:r>
          </w:p>
        </w:tc>
      </w:tr>
      <w:tr w:rsidR="00E61D71" w:rsidRPr="009231BB" w14:paraId="00A1608D" w14:textId="77777777" w:rsidTr="00FE0B3E">
        <w:tc>
          <w:tcPr>
            <w:tcW w:w="3010" w:type="dxa"/>
          </w:tcPr>
          <w:p w14:paraId="39135D89" w14:textId="77777777" w:rsidR="00E61D71" w:rsidRPr="009231BB" w:rsidRDefault="00E61D71" w:rsidP="0001674B">
            <w:pPr>
              <w:spacing w:after="157" w:line="240" w:lineRule="auto"/>
              <w:ind w:left="0" w:firstLine="0"/>
              <w:jc w:val="both"/>
            </w:pPr>
            <w:r w:rsidRPr="009231BB">
              <w:t>Leaf sauces</w:t>
            </w:r>
          </w:p>
        </w:tc>
        <w:tc>
          <w:tcPr>
            <w:tcW w:w="3010" w:type="dxa"/>
          </w:tcPr>
          <w:p w14:paraId="36F82DE8" w14:textId="77777777" w:rsidR="00E61D71" w:rsidRPr="009231BB" w:rsidRDefault="00E61D71" w:rsidP="0001674B">
            <w:pPr>
              <w:spacing w:after="157" w:line="240" w:lineRule="auto"/>
              <w:ind w:left="0" w:firstLine="0"/>
              <w:jc w:val="both"/>
            </w:pPr>
            <w:r w:rsidRPr="009231BB">
              <w:t>21 – 36</w:t>
            </w:r>
          </w:p>
        </w:tc>
        <w:tc>
          <w:tcPr>
            <w:tcW w:w="3011" w:type="dxa"/>
          </w:tcPr>
          <w:p w14:paraId="6A05EEA7" w14:textId="77777777" w:rsidR="00E61D71" w:rsidRPr="009231BB" w:rsidRDefault="00E61D71" w:rsidP="0001674B">
            <w:pPr>
              <w:spacing w:after="157" w:line="240" w:lineRule="auto"/>
              <w:ind w:left="0" w:firstLine="0"/>
              <w:jc w:val="both"/>
            </w:pPr>
            <w:r w:rsidRPr="009231BB">
              <w:t>28.5</w:t>
            </w:r>
          </w:p>
        </w:tc>
      </w:tr>
    </w:tbl>
    <w:p w14:paraId="3F38E04B" w14:textId="3932DD92" w:rsidR="00E61D71" w:rsidRDefault="000F77CC" w:rsidP="00E61D71">
      <w:pPr>
        <w:spacing w:after="157" w:line="360" w:lineRule="auto"/>
        <w:ind w:left="0" w:firstLine="0"/>
        <w:jc w:val="both"/>
      </w:pPr>
      <w:r>
        <w:t xml:space="preserve">       Source:</w:t>
      </w:r>
      <w:r w:rsidR="00BE089E">
        <w:t xml:space="preserve"> </w:t>
      </w:r>
      <w:r w:rsidR="00BE089E" w:rsidRPr="009231BB">
        <w:t>Hudson et</w:t>
      </w:r>
      <w:r w:rsidR="00BE089E">
        <w:t xml:space="preserve"> </w:t>
      </w:r>
      <w:r w:rsidR="00BE089E" w:rsidRPr="009231BB">
        <w:t>al</w:t>
      </w:r>
      <w:r w:rsidR="00101349">
        <w:t>.</w:t>
      </w:r>
      <w:r w:rsidR="00BE089E" w:rsidRPr="009231BB">
        <w:t xml:space="preserve">, </w:t>
      </w:r>
      <w:r w:rsidR="00BE089E">
        <w:t>(</w:t>
      </w:r>
      <w:r w:rsidR="00BE089E" w:rsidRPr="009231BB">
        <w:t>1992)</w:t>
      </w:r>
      <w:r>
        <w:t xml:space="preserve"> </w:t>
      </w:r>
    </w:p>
    <w:p w14:paraId="4902C47D" w14:textId="038AF5D9" w:rsidR="00E61D71" w:rsidRPr="009231BB" w:rsidRDefault="00654CBC" w:rsidP="0094607A">
      <w:pPr>
        <w:spacing w:after="157" w:line="360" w:lineRule="auto"/>
        <w:ind w:left="0" w:firstLine="0"/>
        <w:jc w:val="both"/>
      </w:pPr>
      <w:r>
        <w:t xml:space="preserve">Further works are in progress to provide more evidence on prevalence of aflatoxin in a range of agricultural commodities in The Gambia. </w:t>
      </w:r>
      <w:r w:rsidR="00A86D31">
        <w:t xml:space="preserve">These include International Trade Centre funded </w:t>
      </w:r>
      <w:r w:rsidR="005F453D">
        <w:t>A</w:t>
      </w:r>
      <w:r w:rsidR="00E61D71" w:rsidRPr="009231BB">
        <w:t>udit of the handling, processing and storage of groundnuts for aflatoxin contamination between depots and markets</w:t>
      </w:r>
      <w:r w:rsidR="00A86D31">
        <w:t>; t</w:t>
      </w:r>
      <w:r w:rsidR="00E61D71" w:rsidRPr="009231BB">
        <w:t xml:space="preserve">he </w:t>
      </w:r>
      <w:r w:rsidR="00343AE6">
        <w:t>aflasafe</w:t>
      </w:r>
      <w:r w:rsidR="00343AE6" w:rsidRPr="009231BB">
        <w:t xml:space="preserve"> </w:t>
      </w:r>
      <w:r w:rsidR="00E61D71" w:rsidRPr="009231BB">
        <w:t xml:space="preserve">initiative </w:t>
      </w:r>
      <w:r w:rsidR="00A86D31">
        <w:t>t</w:t>
      </w:r>
      <w:r w:rsidR="00E61D71" w:rsidRPr="009231BB">
        <w:t>o test the efficacy of biological contr</w:t>
      </w:r>
      <w:r w:rsidR="00E61D71">
        <w:t xml:space="preserve">ol agent - </w:t>
      </w:r>
      <w:r w:rsidR="00343AE6">
        <w:t xml:space="preserve">aflasafe </w:t>
      </w:r>
      <w:r w:rsidR="00E61D71">
        <w:t>SN01®</w:t>
      </w:r>
      <w:r w:rsidR="00E61D71" w:rsidRPr="009231BB">
        <w:t xml:space="preserve"> product for toxigenic </w:t>
      </w:r>
      <w:r w:rsidR="00E61D71" w:rsidRPr="002B2C64">
        <w:rPr>
          <w:i/>
        </w:rPr>
        <w:t>A</w:t>
      </w:r>
      <w:r w:rsidR="00343AE6">
        <w:rPr>
          <w:i/>
        </w:rPr>
        <w:t>.</w:t>
      </w:r>
      <w:r w:rsidR="00E61D71" w:rsidRPr="002B2C64">
        <w:rPr>
          <w:i/>
        </w:rPr>
        <w:t xml:space="preserve"> flavus</w:t>
      </w:r>
      <w:r w:rsidR="00A86D31">
        <w:t xml:space="preserve">; and </w:t>
      </w:r>
      <w:r w:rsidR="00A86D31">
        <w:rPr>
          <w:color w:val="auto"/>
        </w:rPr>
        <w:t xml:space="preserve">the </w:t>
      </w:r>
      <w:r w:rsidR="005F453D" w:rsidRPr="002B5108">
        <w:rPr>
          <w:color w:val="auto"/>
        </w:rPr>
        <w:t>Africa</w:t>
      </w:r>
      <w:r w:rsidR="00E61D71" w:rsidRPr="002B5108">
        <w:rPr>
          <w:color w:val="auto"/>
        </w:rPr>
        <w:t xml:space="preserve"> </w:t>
      </w:r>
      <w:r w:rsidR="005F453D" w:rsidRPr="002B5108">
        <w:rPr>
          <w:color w:val="auto"/>
        </w:rPr>
        <w:t>Aflatoxin Information Management System</w:t>
      </w:r>
      <w:r w:rsidR="00A86D31">
        <w:rPr>
          <w:color w:val="auto"/>
        </w:rPr>
        <w:t xml:space="preserve"> - </w:t>
      </w:r>
      <w:r w:rsidR="00A86D31" w:rsidRPr="002B5108">
        <w:rPr>
          <w:color w:val="auto"/>
        </w:rPr>
        <w:t>AfricaAIMS</w:t>
      </w:r>
      <w:r w:rsidR="00A86D31">
        <w:rPr>
          <w:color w:val="auto"/>
        </w:rPr>
        <w:t>.</w:t>
      </w:r>
      <w:r w:rsidR="00E61D71" w:rsidRPr="009231BB">
        <w:t xml:space="preserve"> </w:t>
      </w:r>
    </w:p>
    <w:p w14:paraId="40E09EA9" w14:textId="59D468C0" w:rsidR="00E61D71" w:rsidRPr="00573E53" w:rsidRDefault="002A3F9B" w:rsidP="002A3F9B">
      <w:pPr>
        <w:pStyle w:val="Heading1"/>
      </w:pPr>
      <w:bookmarkStart w:id="13" w:name="_Toc427672750"/>
      <w:r>
        <w:t>6</w:t>
      </w:r>
      <w:r w:rsidR="002D4A16" w:rsidRPr="00573E53">
        <w:t xml:space="preserve">.0 </w:t>
      </w:r>
      <w:r w:rsidR="00573E53">
        <w:t>Risk c</w:t>
      </w:r>
      <w:r w:rsidR="00E61D71" w:rsidRPr="00573E53">
        <w:t xml:space="preserve">haracterization of </w:t>
      </w:r>
      <w:r w:rsidR="00573E53">
        <w:t>a</w:t>
      </w:r>
      <w:r w:rsidR="00E61D71" w:rsidRPr="00573E53">
        <w:t xml:space="preserve">flatoxin </w:t>
      </w:r>
      <w:r w:rsidR="00573E53">
        <w:t>c</w:t>
      </w:r>
      <w:r w:rsidR="00E61D71" w:rsidRPr="00573E53">
        <w:t>ontamination</w:t>
      </w:r>
      <w:bookmarkEnd w:id="13"/>
      <w:r w:rsidR="00E61D71" w:rsidRPr="00573E53">
        <w:t xml:space="preserve"> </w:t>
      </w:r>
    </w:p>
    <w:p w14:paraId="6E3E4F94" w14:textId="77777777" w:rsidR="002A3F9B" w:rsidRDefault="002A3F9B" w:rsidP="00E61D71">
      <w:pPr>
        <w:spacing w:after="157" w:line="360" w:lineRule="auto"/>
        <w:ind w:left="0" w:firstLine="0"/>
        <w:jc w:val="both"/>
      </w:pPr>
    </w:p>
    <w:p w14:paraId="04339F3A" w14:textId="5AD830D9" w:rsidR="00E61D71" w:rsidRPr="00573E53" w:rsidRDefault="00E61D71" w:rsidP="00E61D71">
      <w:pPr>
        <w:spacing w:after="157" w:line="360" w:lineRule="auto"/>
        <w:ind w:left="0" w:firstLine="0"/>
        <w:jc w:val="both"/>
      </w:pPr>
      <w:r w:rsidRPr="00306CBA">
        <w:lastRenderedPageBreak/>
        <w:t xml:space="preserve">The characterization of </w:t>
      </w:r>
      <w:r w:rsidR="006D3035">
        <w:t xml:space="preserve">risks </w:t>
      </w:r>
      <w:r w:rsidR="00815A54">
        <w:t xml:space="preserve">of </w:t>
      </w:r>
      <w:r w:rsidRPr="00306CBA">
        <w:t xml:space="preserve">aflatoxin </w:t>
      </w:r>
      <w:r w:rsidR="00815A54">
        <w:t xml:space="preserve">contamination </w:t>
      </w:r>
      <w:r w:rsidRPr="00306CBA">
        <w:t xml:space="preserve">in relation to </w:t>
      </w:r>
      <w:r w:rsidR="00815A54">
        <w:t>the final uses</w:t>
      </w:r>
      <w:r w:rsidR="001B3EAB">
        <w:t xml:space="preserve"> and value chain process of</w:t>
      </w:r>
      <w:r w:rsidR="00815A54">
        <w:t xml:space="preserve"> </w:t>
      </w:r>
      <w:r w:rsidRPr="00306CBA">
        <w:t>gro</w:t>
      </w:r>
      <w:r w:rsidR="00F52958">
        <w:t xml:space="preserve">undnuts, rice and maize </w:t>
      </w:r>
      <w:r w:rsidR="001B3EAB">
        <w:t>are evaluated and discussed below</w:t>
      </w:r>
      <w:r w:rsidRPr="00306CBA">
        <w:t xml:space="preserve">. The final uses </w:t>
      </w:r>
      <w:r w:rsidR="00B00E14">
        <w:t xml:space="preserve">of groundnuts, maize and rice </w:t>
      </w:r>
      <w:r w:rsidRPr="00306CBA">
        <w:t>w</w:t>
      </w:r>
      <w:r w:rsidR="00F52958">
        <w:t xml:space="preserve">ere </w:t>
      </w:r>
      <w:r w:rsidRPr="00306CBA">
        <w:t>determine</w:t>
      </w:r>
      <w:r w:rsidR="00F52958">
        <w:t>d to assess</w:t>
      </w:r>
      <w:r w:rsidRPr="00306CBA">
        <w:t xml:space="preserve"> where the largest impact of contamination is likely to be and, correspondingly, the distribution of economic impacts between human and livestock health, agriculture and food security, and domestic and international trade.  </w:t>
      </w:r>
    </w:p>
    <w:p w14:paraId="705C1C36" w14:textId="6460F9B4" w:rsidR="00E61D71" w:rsidRPr="00B00E14" w:rsidRDefault="002A3F9B" w:rsidP="00A72DFD">
      <w:pPr>
        <w:pStyle w:val="Heading2"/>
        <w:spacing w:line="480" w:lineRule="auto"/>
        <w:jc w:val="both"/>
      </w:pPr>
      <w:bookmarkStart w:id="14" w:name="_Toc427672751"/>
      <w:r w:rsidRPr="00B00E14">
        <w:t>6</w:t>
      </w:r>
      <w:r w:rsidR="002D4A16" w:rsidRPr="00B00E14">
        <w:t xml:space="preserve">.1 </w:t>
      </w:r>
      <w:r w:rsidR="00E61D71" w:rsidRPr="00B00E14">
        <w:t>Final uses of groundnuts</w:t>
      </w:r>
      <w:bookmarkEnd w:id="14"/>
      <w:r w:rsidR="00E61D71" w:rsidRPr="00B00E14">
        <w:t xml:space="preserve"> </w:t>
      </w:r>
    </w:p>
    <w:p w14:paraId="1C99EBFD" w14:textId="2A791FB8" w:rsidR="005A0AC8" w:rsidRDefault="005A0AC8" w:rsidP="00B103BF">
      <w:pPr>
        <w:spacing w:line="360" w:lineRule="auto"/>
        <w:ind w:left="-6" w:hanging="11"/>
        <w:jc w:val="both"/>
      </w:pPr>
      <w:r w:rsidRPr="00BF1ACA">
        <w:t xml:space="preserve">In The Gambia, </w:t>
      </w:r>
      <w:r>
        <w:t xml:space="preserve">it </w:t>
      </w:r>
      <w:r w:rsidRPr="00BF1ACA">
        <w:t xml:space="preserve">is reported that about 50% of the groundnut produced is marketed </w:t>
      </w:r>
      <w:r w:rsidR="004D2BA4">
        <w:t xml:space="preserve">locally and internationally </w:t>
      </w:r>
      <w:r w:rsidRPr="00BF1ACA">
        <w:t>(</w:t>
      </w:r>
      <w:r w:rsidR="00032DF6">
        <w:t>Mbenga, NARI, 2014; unpublished</w:t>
      </w:r>
      <w:r w:rsidRPr="00BF1ACA">
        <w:t xml:space="preserve">). </w:t>
      </w:r>
      <w:r w:rsidR="00331516">
        <w:t>Farmers reported that about 13% of the total groundnut produce (8,966 Mt) is kept for seed</w:t>
      </w:r>
      <w:r w:rsidR="00C17CA7">
        <w:t xml:space="preserve"> </w:t>
      </w:r>
      <w:r w:rsidR="00A82950">
        <w:t>(</w:t>
      </w:r>
      <w:r w:rsidR="00C17CA7">
        <w:t>Table 5</w:t>
      </w:r>
      <w:r w:rsidR="00A82950">
        <w:t>)</w:t>
      </w:r>
      <w:r w:rsidR="00331516">
        <w:t>. Our calculations show that a</w:t>
      </w:r>
      <w:r w:rsidR="00CB7FAB">
        <w:t xml:space="preserve">bout </w:t>
      </w:r>
      <w:r w:rsidR="000C3C61">
        <w:t>10</w:t>
      </w:r>
      <w:r w:rsidR="00CB7FAB">
        <w:t>,000 Mt</w:t>
      </w:r>
      <w:r w:rsidR="000C3C61">
        <w:t xml:space="preserve"> are exported</w:t>
      </w:r>
      <w:r w:rsidR="00331516">
        <w:t>.</w:t>
      </w:r>
      <w:r w:rsidR="000C3C61">
        <w:t xml:space="preserve"> </w:t>
      </w:r>
      <w:r w:rsidR="00CB7FAB">
        <w:t xml:space="preserve">Per capita consumption is estimated at </w:t>
      </w:r>
      <w:r w:rsidR="00C17CA7">
        <w:t xml:space="preserve">26,000 kg/year or </w:t>
      </w:r>
      <w:r w:rsidR="000C3C61">
        <w:t>77 grams per</w:t>
      </w:r>
      <w:r w:rsidR="00C17CA7">
        <w:t>/capita/</w:t>
      </w:r>
      <w:r w:rsidR="000C3C61">
        <w:t xml:space="preserve">day. </w:t>
      </w:r>
    </w:p>
    <w:p w14:paraId="2123749F" w14:textId="6F9C8B89" w:rsidR="005A0AC8" w:rsidRDefault="00443C86" w:rsidP="00443C86">
      <w:pPr>
        <w:spacing w:after="0"/>
      </w:pPr>
      <w:r>
        <w:t xml:space="preserve">                    Table 5. Final uses of groundnut</w:t>
      </w:r>
    </w:p>
    <w:tbl>
      <w:tblPr>
        <w:tblW w:w="8178" w:type="dxa"/>
        <w:jc w:val="center"/>
        <w:tblLook w:val="04A0" w:firstRow="1" w:lastRow="0" w:firstColumn="1" w:lastColumn="0" w:noHBand="0" w:noVBand="1"/>
      </w:tblPr>
      <w:tblGrid>
        <w:gridCol w:w="937"/>
        <w:gridCol w:w="5428"/>
        <w:gridCol w:w="1813"/>
      </w:tblGrid>
      <w:tr w:rsidR="00D34C30" w:rsidRPr="00D34C30" w14:paraId="34F1742C" w14:textId="77777777" w:rsidTr="0001308D">
        <w:trPr>
          <w:trHeight w:val="300"/>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51B4"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w:t>
            </w:r>
          </w:p>
        </w:tc>
        <w:tc>
          <w:tcPr>
            <w:tcW w:w="5428" w:type="dxa"/>
            <w:tcBorders>
              <w:top w:val="single" w:sz="4" w:space="0" w:color="auto"/>
              <w:left w:val="nil"/>
              <w:bottom w:val="single" w:sz="4" w:space="0" w:color="auto"/>
              <w:right w:val="single" w:sz="4" w:space="0" w:color="auto"/>
            </w:tcBorders>
            <w:shd w:val="clear" w:color="auto" w:fill="auto"/>
            <w:noWrap/>
            <w:vAlign w:val="bottom"/>
            <w:hideMark/>
          </w:tcPr>
          <w:p w14:paraId="49382794" w14:textId="0062F404" w:rsidR="00D34C30" w:rsidRPr="00D34C30" w:rsidRDefault="00D34C30" w:rsidP="00D34C30">
            <w:pPr>
              <w:spacing w:after="0" w:line="240" w:lineRule="auto"/>
              <w:ind w:left="0" w:firstLine="0"/>
              <w:rPr>
                <w:rFonts w:ascii="Calibri" w:hAnsi="Calibri"/>
              </w:rPr>
            </w:pPr>
            <w:r w:rsidRPr="00D34C30">
              <w:rPr>
                <w:rFonts w:ascii="Calibri" w:hAnsi="Calibri"/>
              </w:rPr>
              <w:t xml:space="preserve">Total production (decorticated)  </w:t>
            </w:r>
            <w:r w:rsidR="0001308D">
              <w:rPr>
                <w:rFonts w:ascii="Calibri" w:hAnsi="Calibri"/>
              </w:rPr>
              <w:t>(</w:t>
            </w:r>
            <w:r w:rsidRPr="00D34C30">
              <w:rPr>
                <w:rFonts w:ascii="Calibri" w:hAnsi="Calibri"/>
              </w:rPr>
              <w:t>Mt</w:t>
            </w:r>
            <w:r w:rsidR="0001308D">
              <w:rPr>
                <w:rFonts w:ascii="Calibri" w:hAnsi="Calibri"/>
              </w:rPr>
              <w:t>)</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0A5333A8" w14:textId="21007209" w:rsidR="00D34C30" w:rsidRPr="00D34C30" w:rsidRDefault="003033AB" w:rsidP="00C17CA7">
            <w:pPr>
              <w:spacing w:after="0" w:line="240" w:lineRule="auto"/>
              <w:ind w:left="0" w:firstLine="0"/>
              <w:jc w:val="right"/>
              <w:rPr>
                <w:rFonts w:ascii="Calibri" w:hAnsi="Calibri"/>
              </w:rPr>
            </w:pPr>
            <w:r>
              <w:rPr>
                <w:rFonts w:ascii="Calibri" w:hAnsi="Calibri"/>
              </w:rPr>
              <w:t xml:space="preserve">                 68,971</w:t>
            </w:r>
          </w:p>
        </w:tc>
      </w:tr>
      <w:tr w:rsidR="00D34C30" w:rsidRPr="00D34C30" w14:paraId="3B7D4B31"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E02820B"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2</w:t>
            </w:r>
          </w:p>
        </w:tc>
        <w:tc>
          <w:tcPr>
            <w:tcW w:w="5428" w:type="dxa"/>
            <w:tcBorders>
              <w:top w:val="nil"/>
              <w:left w:val="nil"/>
              <w:bottom w:val="single" w:sz="4" w:space="0" w:color="auto"/>
              <w:right w:val="single" w:sz="4" w:space="0" w:color="auto"/>
            </w:tcBorders>
            <w:shd w:val="clear" w:color="auto" w:fill="auto"/>
            <w:noWrap/>
            <w:vAlign w:val="bottom"/>
            <w:hideMark/>
          </w:tcPr>
          <w:p w14:paraId="3143B378" w14:textId="77777777" w:rsidR="00D34C30" w:rsidRPr="00D34C30" w:rsidRDefault="00D34C30" w:rsidP="00D34C30">
            <w:pPr>
              <w:spacing w:after="0" w:line="240" w:lineRule="auto"/>
              <w:ind w:left="0" w:firstLine="0"/>
              <w:rPr>
                <w:rFonts w:ascii="Calibri" w:hAnsi="Calibri"/>
              </w:rPr>
            </w:pPr>
            <w:r w:rsidRPr="00D34C30">
              <w:rPr>
                <w:rFonts w:ascii="Calibri" w:hAnsi="Calibri"/>
              </w:rPr>
              <w:t>% kept by farmers for seed and consumption</w:t>
            </w:r>
          </w:p>
        </w:tc>
        <w:tc>
          <w:tcPr>
            <w:tcW w:w="1813" w:type="dxa"/>
            <w:tcBorders>
              <w:top w:val="nil"/>
              <w:left w:val="nil"/>
              <w:bottom w:val="single" w:sz="4" w:space="0" w:color="auto"/>
              <w:right w:val="single" w:sz="4" w:space="0" w:color="auto"/>
            </w:tcBorders>
            <w:shd w:val="clear" w:color="auto" w:fill="auto"/>
            <w:noWrap/>
            <w:vAlign w:val="bottom"/>
            <w:hideMark/>
          </w:tcPr>
          <w:p w14:paraId="0D48C369" w14:textId="0F72F938" w:rsidR="00D34C30" w:rsidRPr="00D34C30" w:rsidRDefault="003033AB" w:rsidP="00C17CA7">
            <w:pPr>
              <w:spacing w:after="0" w:line="240" w:lineRule="auto"/>
              <w:ind w:left="0" w:firstLine="0"/>
              <w:jc w:val="right"/>
              <w:rPr>
                <w:rFonts w:ascii="Calibri" w:hAnsi="Calibri"/>
              </w:rPr>
            </w:pPr>
            <w:r>
              <w:rPr>
                <w:rFonts w:ascii="Calibri" w:hAnsi="Calibri"/>
              </w:rPr>
              <w:t xml:space="preserve">                           </w:t>
            </w:r>
            <w:r w:rsidR="00D34C30" w:rsidRPr="00D34C30">
              <w:rPr>
                <w:rFonts w:ascii="Calibri" w:hAnsi="Calibri"/>
              </w:rPr>
              <w:t xml:space="preserve">55 </w:t>
            </w:r>
          </w:p>
        </w:tc>
      </w:tr>
      <w:tr w:rsidR="00D34C30" w:rsidRPr="00D34C30" w14:paraId="38B84104"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0BA6B8B"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3</w:t>
            </w:r>
          </w:p>
        </w:tc>
        <w:tc>
          <w:tcPr>
            <w:tcW w:w="5428" w:type="dxa"/>
            <w:tcBorders>
              <w:top w:val="nil"/>
              <w:left w:val="nil"/>
              <w:bottom w:val="single" w:sz="4" w:space="0" w:color="auto"/>
              <w:right w:val="single" w:sz="4" w:space="0" w:color="auto"/>
            </w:tcBorders>
            <w:shd w:val="clear" w:color="auto" w:fill="auto"/>
            <w:noWrap/>
            <w:vAlign w:val="bottom"/>
            <w:hideMark/>
          </w:tcPr>
          <w:p w14:paraId="1ABC9E0C" w14:textId="63A1F31D" w:rsidR="00D34C30" w:rsidRPr="00D34C30" w:rsidRDefault="00A54565" w:rsidP="00D34C30">
            <w:pPr>
              <w:spacing w:after="0" w:line="240" w:lineRule="auto"/>
              <w:ind w:left="0" w:firstLine="0"/>
              <w:rPr>
                <w:rFonts w:ascii="Calibri" w:hAnsi="Calibri"/>
              </w:rPr>
            </w:pPr>
            <w:r>
              <w:rPr>
                <w:rFonts w:ascii="Calibri" w:hAnsi="Calibri"/>
              </w:rPr>
              <w:t>Quantity</w:t>
            </w:r>
            <w:r w:rsidRPr="00D34C30">
              <w:rPr>
                <w:rFonts w:ascii="Calibri" w:hAnsi="Calibri"/>
              </w:rPr>
              <w:t xml:space="preserve"> </w:t>
            </w:r>
            <w:r w:rsidR="00D34C30" w:rsidRPr="00D34C30">
              <w:rPr>
                <w:rFonts w:ascii="Calibri" w:hAnsi="Calibri"/>
              </w:rPr>
              <w:t xml:space="preserve">kept by farmers for seed and consumption </w:t>
            </w:r>
            <w:r w:rsidR="0001308D">
              <w:rPr>
                <w:rFonts w:ascii="Calibri" w:hAnsi="Calibri"/>
              </w:rPr>
              <w:t>(</w:t>
            </w:r>
            <w:r w:rsidR="00D34C30" w:rsidRPr="00D34C30">
              <w:rPr>
                <w:rFonts w:ascii="Calibri" w:hAnsi="Calibri"/>
              </w:rPr>
              <w:t>Mt</w:t>
            </w:r>
            <w:r w:rsidR="0001308D">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5107F113" w14:textId="03C2AD24"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37,93</w:t>
            </w:r>
            <w:r w:rsidR="00032DF6">
              <w:rPr>
                <w:rFonts w:ascii="Calibri" w:hAnsi="Calibri"/>
              </w:rPr>
              <w:t>3</w:t>
            </w:r>
            <w:r w:rsidRPr="00D34C30">
              <w:rPr>
                <w:rFonts w:ascii="Calibri" w:hAnsi="Calibri"/>
              </w:rPr>
              <w:t xml:space="preserve"> </w:t>
            </w:r>
          </w:p>
        </w:tc>
      </w:tr>
      <w:tr w:rsidR="00D34C30" w:rsidRPr="00D34C30" w14:paraId="27D4182A"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FA30B80"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4</w:t>
            </w:r>
          </w:p>
        </w:tc>
        <w:tc>
          <w:tcPr>
            <w:tcW w:w="5428" w:type="dxa"/>
            <w:tcBorders>
              <w:top w:val="nil"/>
              <w:left w:val="nil"/>
              <w:bottom w:val="single" w:sz="4" w:space="0" w:color="auto"/>
              <w:right w:val="single" w:sz="4" w:space="0" w:color="auto"/>
            </w:tcBorders>
            <w:shd w:val="clear" w:color="auto" w:fill="auto"/>
            <w:noWrap/>
            <w:vAlign w:val="bottom"/>
            <w:hideMark/>
          </w:tcPr>
          <w:p w14:paraId="7CFCE731" w14:textId="6261FE15" w:rsidR="00D34C30" w:rsidRPr="00D34C30" w:rsidRDefault="00D34C30" w:rsidP="00C17CA7">
            <w:pPr>
              <w:spacing w:after="0" w:line="240" w:lineRule="auto"/>
              <w:ind w:left="0" w:firstLine="0"/>
              <w:rPr>
                <w:rFonts w:ascii="Calibri" w:hAnsi="Calibri"/>
              </w:rPr>
            </w:pPr>
            <w:r w:rsidRPr="00D34C30">
              <w:rPr>
                <w:rFonts w:ascii="Calibri" w:hAnsi="Calibri"/>
              </w:rPr>
              <w:t xml:space="preserve">% kept by farmers for seed out </w:t>
            </w:r>
            <w:r w:rsidR="00C17CA7">
              <w:rPr>
                <w:rFonts w:ascii="Calibri" w:hAnsi="Calibri"/>
              </w:rPr>
              <w:t>of total production</w:t>
            </w:r>
          </w:p>
        </w:tc>
        <w:tc>
          <w:tcPr>
            <w:tcW w:w="1813" w:type="dxa"/>
            <w:tcBorders>
              <w:top w:val="nil"/>
              <w:left w:val="nil"/>
              <w:bottom w:val="single" w:sz="4" w:space="0" w:color="auto"/>
              <w:right w:val="single" w:sz="4" w:space="0" w:color="auto"/>
            </w:tcBorders>
            <w:shd w:val="clear" w:color="auto" w:fill="auto"/>
            <w:noWrap/>
            <w:vAlign w:val="bottom"/>
            <w:hideMark/>
          </w:tcPr>
          <w:p w14:paraId="0D3E3DC3" w14:textId="48CF8BEC" w:rsidR="00D34C30" w:rsidRPr="00D34C30" w:rsidRDefault="003033AB" w:rsidP="00C17CA7">
            <w:pPr>
              <w:spacing w:after="0" w:line="240" w:lineRule="auto"/>
              <w:ind w:left="0" w:firstLine="0"/>
              <w:jc w:val="right"/>
              <w:rPr>
                <w:rFonts w:ascii="Calibri" w:hAnsi="Calibri"/>
              </w:rPr>
            </w:pPr>
            <w:r>
              <w:rPr>
                <w:rFonts w:ascii="Calibri" w:hAnsi="Calibri"/>
              </w:rPr>
              <w:t xml:space="preserve">                           </w:t>
            </w:r>
            <w:r w:rsidR="00D34C30" w:rsidRPr="00D34C30">
              <w:rPr>
                <w:rFonts w:ascii="Calibri" w:hAnsi="Calibri"/>
              </w:rPr>
              <w:t xml:space="preserve">13 </w:t>
            </w:r>
          </w:p>
        </w:tc>
      </w:tr>
      <w:tr w:rsidR="00D34C30" w:rsidRPr="00D34C30" w14:paraId="5F8D44D9"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0"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5</w:t>
            </w:r>
          </w:p>
        </w:tc>
        <w:tc>
          <w:tcPr>
            <w:tcW w:w="5428" w:type="dxa"/>
            <w:tcBorders>
              <w:top w:val="nil"/>
              <w:left w:val="nil"/>
              <w:bottom w:val="single" w:sz="4" w:space="0" w:color="auto"/>
              <w:right w:val="single" w:sz="4" w:space="0" w:color="auto"/>
            </w:tcBorders>
            <w:shd w:val="clear" w:color="auto" w:fill="auto"/>
            <w:noWrap/>
            <w:vAlign w:val="bottom"/>
            <w:hideMark/>
          </w:tcPr>
          <w:p w14:paraId="09F8CE52" w14:textId="56F8928D" w:rsidR="00D34C30" w:rsidRPr="00D34C30" w:rsidRDefault="00A54565" w:rsidP="00D34C30">
            <w:pPr>
              <w:spacing w:after="0" w:line="240" w:lineRule="auto"/>
              <w:ind w:left="0" w:firstLine="0"/>
              <w:rPr>
                <w:rFonts w:ascii="Calibri" w:hAnsi="Calibri"/>
              </w:rPr>
            </w:pPr>
            <w:r>
              <w:rPr>
                <w:rFonts w:ascii="Calibri" w:hAnsi="Calibri"/>
              </w:rPr>
              <w:t>Quantity</w:t>
            </w:r>
            <w:r w:rsidRPr="00D34C30">
              <w:rPr>
                <w:rFonts w:ascii="Calibri" w:hAnsi="Calibri"/>
              </w:rPr>
              <w:t xml:space="preserve"> </w:t>
            </w:r>
            <w:r w:rsidR="00D34C30" w:rsidRPr="00D34C30">
              <w:rPr>
                <w:rFonts w:ascii="Calibri" w:hAnsi="Calibri"/>
              </w:rPr>
              <w:t xml:space="preserve">kept by farmers for seed </w:t>
            </w:r>
            <w:r w:rsidR="0001308D">
              <w:rPr>
                <w:rFonts w:ascii="Calibri" w:hAnsi="Calibri"/>
              </w:rPr>
              <w:t>(</w:t>
            </w:r>
            <w:r w:rsidR="00D34C30" w:rsidRPr="00D34C30">
              <w:rPr>
                <w:rFonts w:ascii="Calibri" w:hAnsi="Calibri"/>
              </w:rPr>
              <w:t>Mt</w:t>
            </w:r>
            <w:r w:rsidR="0001308D">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290FD5E4" w14:textId="108A85A2"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8,966 </w:t>
            </w:r>
          </w:p>
        </w:tc>
      </w:tr>
      <w:tr w:rsidR="00D34C30" w:rsidRPr="00D34C30" w14:paraId="425BA0AF"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9971B70"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6</w:t>
            </w:r>
          </w:p>
        </w:tc>
        <w:tc>
          <w:tcPr>
            <w:tcW w:w="5428" w:type="dxa"/>
            <w:tcBorders>
              <w:top w:val="nil"/>
              <w:left w:val="nil"/>
              <w:bottom w:val="single" w:sz="4" w:space="0" w:color="auto"/>
              <w:right w:val="single" w:sz="4" w:space="0" w:color="auto"/>
            </w:tcBorders>
            <w:shd w:val="clear" w:color="auto" w:fill="auto"/>
            <w:noWrap/>
            <w:vAlign w:val="bottom"/>
            <w:hideMark/>
          </w:tcPr>
          <w:p w14:paraId="45047306" w14:textId="191AFE19" w:rsidR="00D34C30" w:rsidRPr="00D34C30" w:rsidRDefault="00B613F0" w:rsidP="00D34C30">
            <w:pPr>
              <w:spacing w:after="0" w:line="240" w:lineRule="auto"/>
              <w:ind w:left="0" w:firstLine="0"/>
              <w:rPr>
                <w:rFonts w:ascii="Calibri" w:hAnsi="Calibri"/>
              </w:rPr>
            </w:pPr>
            <w:r>
              <w:rPr>
                <w:rFonts w:ascii="Calibri" w:hAnsi="Calibri"/>
              </w:rPr>
              <w:t>Quantity</w:t>
            </w:r>
            <w:r w:rsidRPr="00D34C30">
              <w:rPr>
                <w:rFonts w:ascii="Calibri" w:hAnsi="Calibri"/>
              </w:rPr>
              <w:t xml:space="preserve"> </w:t>
            </w:r>
            <w:r w:rsidR="00D34C30" w:rsidRPr="00D34C30">
              <w:rPr>
                <w:rFonts w:ascii="Calibri" w:hAnsi="Calibri"/>
              </w:rPr>
              <w:t xml:space="preserve">consumed by farmers (own consumption) </w:t>
            </w:r>
            <w:r w:rsidR="0001308D">
              <w:rPr>
                <w:rFonts w:ascii="Calibri" w:hAnsi="Calibri"/>
              </w:rPr>
              <w:t>(</w:t>
            </w:r>
            <w:r w:rsidR="00D34C30" w:rsidRPr="00D34C30">
              <w:rPr>
                <w:rFonts w:ascii="Calibri" w:hAnsi="Calibri"/>
              </w:rPr>
              <w:t>Mt</w:t>
            </w:r>
            <w:r w:rsidR="0001308D">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56BD9721" w14:textId="745A9BDC"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w:t>
            </w:r>
            <w:r w:rsidR="003033AB">
              <w:rPr>
                <w:rFonts w:ascii="Calibri" w:hAnsi="Calibri"/>
              </w:rPr>
              <w:t xml:space="preserve">             28,967</w:t>
            </w:r>
          </w:p>
        </w:tc>
      </w:tr>
      <w:tr w:rsidR="00D34C30" w:rsidRPr="00D34C30" w14:paraId="3241D185"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0302F4B"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7</w:t>
            </w:r>
          </w:p>
        </w:tc>
        <w:tc>
          <w:tcPr>
            <w:tcW w:w="5428" w:type="dxa"/>
            <w:tcBorders>
              <w:top w:val="nil"/>
              <w:left w:val="nil"/>
              <w:bottom w:val="single" w:sz="4" w:space="0" w:color="auto"/>
              <w:right w:val="single" w:sz="4" w:space="0" w:color="auto"/>
            </w:tcBorders>
            <w:shd w:val="clear" w:color="auto" w:fill="auto"/>
            <w:noWrap/>
            <w:vAlign w:val="bottom"/>
            <w:hideMark/>
          </w:tcPr>
          <w:p w14:paraId="6393224A" w14:textId="0DE4F5DB" w:rsidR="00D34C30" w:rsidRPr="00D34C30" w:rsidRDefault="00D34C30" w:rsidP="00D34C30">
            <w:pPr>
              <w:spacing w:after="0" w:line="240" w:lineRule="auto"/>
              <w:ind w:left="0" w:firstLine="0"/>
              <w:rPr>
                <w:rFonts w:ascii="Calibri" w:hAnsi="Calibri"/>
              </w:rPr>
            </w:pPr>
            <w:r w:rsidRPr="00D34C30">
              <w:rPr>
                <w:rFonts w:ascii="Calibri" w:hAnsi="Calibri"/>
              </w:rPr>
              <w:t>% traded by farmers</w:t>
            </w:r>
            <w:r w:rsidR="00C17CA7">
              <w:rPr>
                <w:rFonts w:ascii="Calibri" w:hAnsi="Calibri"/>
              </w:rPr>
              <w:t xml:space="preserve"> (from total production)</w:t>
            </w:r>
          </w:p>
        </w:tc>
        <w:tc>
          <w:tcPr>
            <w:tcW w:w="1813" w:type="dxa"/>
            <w:tcBorders>
              <w:top w:val="nil"/>
              <w:left w:val="nil"/>
              <w:bottom w:val="single" w:sz="4" w:space="0" w:color="auto"/>
              <w:right w:val="single" w:sz="4" w:space="0" w:color="auto"/>
            </w:tcBorders>
            <w:shd w:val="clear" w:color="auto" w:fill="auto"/>
            <w:noWrap/>
            <w:vAlign w:val="bottom"/>
            <w:hideMark/>
          </w:tcPr>
          <w:p w14:paraId="1E976D1E" w14:textId="5D37A783" w:rsidR="00D34C30" w:rsidRPr="00D34C30" w:rsidRDefault="003033AB" w:rsidP="00C17CA7">
            <w:pPr>
              <w:spacing w:after="0" w:line="240" w:lineRule="auto"/>
              <w:ind w:left="0" w:firstLine="0"/>
              <w:jc w:val="right"/>
              <w:rPr>
                <w:rFonts w:ascii="Calibri" w:hAnsi="Calibri"/>
              </w:rPr>
            </w:pPr>
            <w:r>
              <w:rPr>
                <w:rFonts w:ascii="Calibri" w:hAnsi="Calibri"/>
              </w:rPr>
              <w:t xml:space="preserve">                           </w:t>
            </w:r>
            <w:r w:rsidR="00D34C30" w:rsidRPr="00D34C30">
              <w:rPr>
                <w:rFonts w:ascii="Calibri" w:hAnsi="Calibri"/>
              </w:rPr>
              <w:t xml:space="preserve">45 </w:t>
            </w:r>
          </w:p>
        </w:tc>
      </w:tr>
      <w:tr w:rsidR="00D34C30" w:rsidRPr="00D34C30" w14:paraId="5C63F454"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20FA8F2"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8</w:t>
            </w:r>
          </w:p>
        </w:tc>
        <w:tc>
          <w:tcPr>
            <w:tcW w:w="5428" w:type="dxa"/>
            <w:tcBorders>
              <w:top w:val="nil"/>
              <w:left w:val="nil"/>
              <w:bottom w:val="single" w:sz="4" w:space="0" w:color="auto"/>
              <w:right w:val="single" w:sz="4" w:space="0" w:color="auto"/>
            </w:tcBorders>
            <w:shd w:val="clear" w:color="auto" w:fill="auto"/>
            <w:noWrap/>
            <w:vAlign w:val="bottom"/>
            <w:hideMark/>
          </w:tcPr>
          <w:p w14:paraId="4DD10648" w14:textId="3B92B483" w:rsidR="00D34C30" w:rsidRPr="00D34C30" w:rsidRDefault="00596648" w:rsidP="00D34C30">
            <w:pPr>
              <w:spacing w:after="0" w:line="240" w:lineRule="auto"/>
              <w:ind w:left="0" w:firstLine="0"/>
              <w:rPr>
                <w:rFonts w:ascii="Calibri" w:hAnsi="Calibri"/>
              </w:rPr>
            </w:pPr>
            <w:r>
              <w:rPr>
                <w:rFonts w:ascii="Calibri" w:hAnsi="Calibri"/>
              </w:rPr>
              <w:t>Quantity</w:t>
            </w:r>
            <w:r w:rsidRPr="00D34C30">
              <w:rPr>
                <w:rFonts w:ascii="Calibri" w:hAnsi="Calibri"/>
              </w:rPr>
              <w:t xml:space="preserve"> </w:t>
            </w:r>
            <w:r w:rsidR="00D34C30" w:rsidRPr="00D34C30">
              <w:rPr>
                <w:rFonts w:ascii="Calibri" w:hAnsi="Calibri"/>
              </w:rPr>
              <w:t xml:space="preserve">traded by farmers </w:t>
            </w:r>
            <w:r w:rsidR="0001308D">
              <w:rPr>
                <w:rFonts w:ascii="Calibri" w:hAnsi="Calibri"/>
              </w:rPr>
              <w:t>(</w:t>
            </w:r>
            <w:r w:rsidR="00D34C30" w:rsidRPr="00D34C30">
              <w:rPr>
                <w:rFonts w:ascii="Calibri" w:hAnsi="Calibri"/>
              </w:rPr>
              <w:t>Mt</w:t>
            </w:r>
            <w:r w:rsidR="0001308D">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66EAE51A" w14:textId="5E78E2A4"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31,03</w:t>
            </w:r>
            <w:r w:rsidR="00DB0DDC">
              <w:rPr>
                <w:rFonts w:ascii="Calibri" w:hAnsi="Calibri"/>
              </w:rPr>
              <w:t>8</w:t>
            </w:r>
          </w:p>
        </w:tc>
      </w:tr>
      <w:tr w:rsidR="00D34C30" w:rsidRPr="00D34C30" w14:paraId="2F2652B9"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1A12B36"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9</w:t>
            </w:r>
          </w:p>
        </w:tc>
        <w:tc>
          <w:tcPr>
            <w:tcW w:w="5428" w:type="dxa"/>
            <w:tcBorders>
              <w:top w:val="nil"/>
              <w:left w:val="nil"/>
              <w:bottom w:val="single" w:sz="4" w:space="0" w:color="auto"/>
              <w:right w:val="single" w:sz="4" w:space="0" w:color="auto"/>
            </w:tcBorders>
            <w:shd w:val="clear" w:color="auto" w:fill="auto"/>
            <w:noWrap/>
            <w:vAlign w:val="bottom"/>
            <w:hideMark/>
          </w:tcPr>
          <w:p w14:paraId="1F03714A" w14:textId="0623DE9C" w:rsidR="00D34C30" w:rsidRPr="00D34C30" w:rsidRDefault="00D34C30" w:rsidP="00596648">
            <w:pPr>
              <w:spacing w:after="0" w:line="240" w:lineRule="auto"/>
              <w:ind w:left="0" w:firstLine="0"/>
              <w:rPr>
                <w:rFonts w:ascii="Calibri" w:hAnsi="Calibri"/>
              </w:rPr>
            </w:pPr>
            <w:r w:rsidRPr="00D34C30">
              <w:rPr>
                <w:rFonts w:ascii="Calibri" w:hAnsi="Calibri"/>
              </w:rPr>
              <w:t xml:space="preserve">Exported (from </w:t>
            </w:r>
            <w:r w:rsidR="00596648">
              <w:rPr>
                <w:rFonts w:ascii="Calibri" w:hAnsi="Calibri"/>
              </w:rPr>
              <w:t>quantity</w:t>
            </w:r>
            <w:r w:rsidR="00596648" w:rsidRPr="00D34C30">
              <w:rPr>
                <w:rFonts w:ascii="Calibri" w:hAnsi="Calibri"/>
              </w:rPr>
              <w:t xml:space="preserve"> </w:t>
            </w:r>
            <w:r w:rsidRPr="00D34C30">
              <w:rPr>
                <w:rFonts w:ascii="Calibri" w:hAnsi="Calibri"/>
              </w:rPr>
              <w:t xml:space="preserve">traded) </w:t>
            </w:r>
            <w:r w:rsidR="0001308D">
              <w:rPr>
                <w:rFonts w:ascii="Calibri" w:hAnsi="Calibri"/>
              </w:rPr>
              <w:t>(</w:t>
            </w:r>
            <w:r w:rsidRPr="00D34C30">
              <w:rPr>
                <w:rFonts w:ascii="Calibri" w:hAnsi="Calibri"/>
              </w:rPr>
              <w:t>%</w:t>
            </w:r>
            <w:r w:rsidR="0001308D">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621DDFFA" w14:textId="3B223112" w:rsidR="00D34C30" w:rsidRPr="00D34C30" w:rsidRDefault="003033AB" w:rsidP="00C17CA7">
            <w:pPr>
              <w:spacing w:after="0" w:line="240" w:lineRule="auto"/>
              <w:ind w:left="0" w:firstLine="0"/>
              <w:jc w:val="right"/>
              <w:rPr>
                <w:rFonts w:ascii="Calibri" w:hAnsi="Calibri"/>
              </w:rPr>
            </w:pPr>
            <w:r>
              <w:rPr>
                <w:rFonts w:ascii="Calibri" w:hAnsi="Calibri"/>
              </w:rPr>
              <w:t xml:space="preserve">                           </w:t>
            </w:r>
            <w:r w:rsidR="00D34C30" w:rsidRPr="00D34C30">
              <w:rPr>
                <w:rFonts w:ascii="Calibri" w:hAnsi="Calibri"/>
              </w:rPr>
              <w:t xml:space="preserve">33 </w:t>
            </w:r>
          </w:p>
        </w:tc>
      </w:tr>
      <w:tr w:rsidR="00D34C30" w:rsidRPr="00D34C30" w14:paraId="1AB61E9C"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C405DB8"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10</w:t>
            </w:r>
          </w:p>
        </w:tc>
        <w:tc>
          <w:tcPr>
            <w:tcW w:w="5428" w:type="dxa"/>
            <w:tcBorders>
              <w:top w:val="nil"/>
              <w:left w:val="nil"/>
              <w:bottom w:val="single" w:sz="4" w:space="0" w:color="auto"/>
              <w:right w:val="single" w:sz="4" w:space="0" w:color="auto"/>
            </w:tcBorders>
            <w:shd w:val="clear" w:color="auto" w:fill="auto"/>
            <w:noWrap/>
            <w:vAlign w:val="bottom"/>
            <w:hideMark/>
          </w:tcPr>
          <w:p w14:paraId="7C5845DD" w14:textId="291FB20F" w:rsidR="00D34C30" w:rsidRPr="00D34C30" w:rsidRDefault="00FB4D26" w:rsidP="00D34C30">
            <w:pPr>
              <w:spacing w:after="0" w:line="240" w:lineRule="auto"/>
              <w:ind w:left="0" w:firstLine="0"/>
              <w:rPr>
                <w:rFonts w:ascii="Calibri" w:hAnsi="Calibri"/>
              </w:rPr>
            </w:pPr>
            <w:r>
              <w:rPr>
                <w:rFonts w:ascii="Calibri" w:hAnsi="Calibri"/>
              </w:rPr>
              <w:t>Quantity</w:t>
            </w:r>
            <w:r w:rsidR="00D34C30" w:rsidRPr="00D34C30">
              <w:rPr>
                <w:rFonts w:ascii="Calibri" w:hAnsi="Calibri"/>
              </w:rPr>
              <w:t xml:space="preserve"> exported </w:t>
            </w:r>
            <w:r w:rsidR="009D1489">
              <w:rPr>
                <w:rFonts w:ascii="Calibri" w:hAnsi="Calibri"/>
              </w:rPr>
              <w:t>(</w:t>
            </w:r>
            <w:r w:rsidR="00D34C30" w:rsidRPr="00D34C30">
              <w:rPr>
                <w:rFonts w:ascii="Calibri" w:hAnsi="Calibri"/>
              </w:rPr>
              <w:t>Mt</w:t>
            </w:r>
            <w:r w:rsidR="009D1489">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617D3063" w14:textId="0669DBC8"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10,242 </w:t>
            </w:r>
          </w:p>
        </w:tc>
      </w:tr>
      <w:tr w:rsidR="00D34C30" w:rsidRPr="00D34C30" w14:paraId="7C82B1F8"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7C0F593"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11</w:t>
            </w:r>
          </w:p>
        </w:tc>
        <w:tc>
          <w:tcPr>
            <w:tcW w:w="5428" w:type="dxa"/>
            <w:tcBorders>
              <w:top w:val="nil"/>
              <w:left w:val="nil"/>
              <w:bottom w:val="single" w:sz="4" w:space="0" w:color="auto"/>
              <w:right w:val="single" w:sz="4" w:space="0" w:color="auto"/>
            </w:tcBorders>
            <w:shd w:val="clear" w:color="auto" w:fill="auto"/>
            <w:noWrap/>
            <w:vAlign w:val="bottom"/>
            <w:hideMark/>
          </w:tcPr>
          <w:p w14:paraId="2099FD5E" w14:textId="3FFEA372" w:rsidR="00D34C30" w:rsidRPr="00D34C30" w:rsidRDefault="00FB4D26" w:rsidP="00D34C30">
            <w:pPr>
              <w:spacing w:after="0" w:line="240" w:lineRule="auto"/>
              <w:ind w:left="0" w:firstLine="0"/>
              <w:rPr>
                <w:rFonts w:ascii="Calibri" w:hAnsi="Calibri"/>
              </w:rPr>
            </w:pPr>
            <w:r>
              <w:rPr>
                <w:rFonts w:ascii="Calibri" w:hAnsi="Calibri"/>
              </w:rPr>
              <w:t>Quantity</w:t>
            </w:r>
            <w:r w:rsidR="00D34C30" w:rsidRPr="00D34C30">
              <w:rPr>
                <w:rFonts w:ascii="Calibri" w:hAnsi="Calibri"/>
              </w:rPr>
              <w:t xml:space="preserve"> consumed  from what is traded </w:t>
            </w:r>
            <w:r w:rsidR="00EB3C01">
              <w:rPr>
                <w:rFonts w:ascii="Calibri" w:hAnsi="Calibri"/>
              </w:rPr>
              <w:t>(</w:t>
            </w:r>
            <w:r w:rsidR="00D34C30" w:rsidRPr="00D34C30">
              <w:rPr>
                <w:rFonts w:ascii="Calibri" w:hAnsi="Calibri"/>
              </w:rPr>
              <w:t>Mt</w:t>
            </w:r>
            <w:r w:rsidR="00EB3C01">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4E99C761" w14:textId="5E9B9FFE" w:rsidR="00D34C30" w:rsidRPr="00D34C30" w:rsidRDefault="003033AB" w:rsidP="00C17CA7">
            <w:pPr>
              <w:spacing w:after="0" w:line="240" w:lineRule="auto"/>
              <w:ind w:left="0" w:firstLine="0"/>
              <w:jc w:val="right"/>
              <w:rPr>
                <w:rFonts w:ascii="Calibri" w:hAnsi="Calibri"/>
              </w:rPr>
            </w:pPr>
            <w:r>
              <w:rPr>
                <w:rFonts w:ascii="Calibri" w:hAnsi="Calibri"/>
              </w:rPr>
              <w:t xml:space="preserve">                 20,79</w:t>
            </w:r>
            <w:r w:rsidR="00677E7C">
              <w:rPr>
                <w:rFonts w:ascii="Calibri" w:hAnsi="Calibri"/>
              </w:rPr>
              <w:t>6</w:t>
            </w:r>
          </w:p>
        </w:tc>
      </w:tr>
      <w:tr w:rsidR="00D34C30" w:rsidRPr="00D34C30" w14:paraId="3CC70BFF"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CF28037"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12</w:t>
            </w:r>
          </w:p>
        </w:tc>
        <w:tc>
          <w:tcPr>
            <w:tcW w:w="5428" w:type="dxa"/>
            <w:tcBorders>
              <w:top w:val="nil"/>
              <w:left w:val="nil"/>
              <w:bottom w:val="single" w:sz="4" w:space="0" w:color="auto"/>
              <w:right w:val="single" w:sz="4" w:space="0" w:color="auto"/>
            </w:tcBorders>
            <w:shd w:val="clear" w:color="auto" w:fill="auto"/>
            <w:noWrap/>
            <w:vAlign w:val="bottom"/>
            <w:hideMark/>
          </w:tcPr>
          <w:p w14:paraId="3E2D810B" w14:textId="3AA129F6" w:rsidR="00D34C30" w:rsidRPr="00D34C30" w:rsidRDefault="00D34C30" w:rsidP="00D34C30">
            <w:pPr>
              <w:spacing w:after="0" w:line="240" w:lineRule="auto"/>
              <w:ind w:left="0" w:firstLine="0"/>
              <w:rPr>
                <w:rFonts w:ascii="Calibri" w:hAnsi="Calibri"/>
              </w:rPr>
            </w:pPr>
            <w:r w:rsidRPr="00D34C30">
              <w:rPr>
                <w:rFonts w:ascii="Calibri" w:hAnsi="Calibri"/>
              </w:rPr>
              <w:t xml:space="preserve">National consumption (6+11)  </w:t>
            </w:r>
            <w:r w:rsidR="00EB3C01">
              <w:rPr>
                <w:rFonts w:ascii="Calibri" w:hAnsi="Calibri"/>
              </w:rPr>
              <w:t>(</w:t>
            </w:r>
            <w:r w:rsidRPr="00D34C30">
              <w:rPr>
                <w:rFonts w:ascii="Calibri" w:hAnsi="Calibri"/>
              </w:rPr>
              <w:t>Mt</w:t>
            </w:r>
            <w:r w:rsidR="00EB3C01">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72BC4C46" w14:textId="1355BB21" w:rsidR="00D34C30" w:rsidRPr="00D34C30" w:rsidRDefault="003033AB" w:rsidP="00C17CA7">
            <w:pPr>
              <w:spacing w:after="0" w:line="240" w:lineRule="auto"/>
              <w:ind w:left="0" w:firstLine="0"/>
              <w:jc w:val="right"/>
              <w:rPr>
                <w:rFonts w:ascii="Calibri" w:hAnsi="Calibri"/>
              </w:rPr>
            </w:pPr>
            <w:r>
              <w:rPr>
                <w:rFonts w:ascii="Calibri" w:hAnsi="Calibri"/>
              </w:rPr>
              <w:t xml:space="preserve">                 49,76</w:t>
            </w:r>
            <w:r w:rsidR="00677E7C">
              <w:rPr>
                <w:rFonts w:ascii="Calibri" w:hAnsi="Calibri"/>
              </w:rPr>
              <w:t>3</w:t>
            </w:r>
          </w:p>
        </w:tc>
      </w:tr>
      <w:tr w:rsidR="00D34C30" w:rsidRPr="00D34C30" w14:paraId="5C639D13"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B240523"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13</w:t>
            </w:r>
          </w:p>
        </w:tc>
        <w:tc>
          <w:tcPr>
            <w:tcW w:w="5428" w:type="dxa"/>
            <w:tcBorders>
              <w:top w:val="nil"/>
              <w:left w:val="nil"/>
              <w:bottom w:val="single" w:sz="4" w:space="0" w:color="auto"/>
              <w:right w:val="single" w:sz="4" w:space="0" w:color="auto"/>
            </w:tcBorders>
            <w:shd w:val="clear" w:color="auto" w:fill="auto"/>
            <w:noWrap/>
            <w:vAlign w:val="bottom"/>
            <w:hideMark/>
          </w:tcPr>
          <w:p w14:paraId="6FE5DED6" w14:textId="25744123" w:rsidR="00D34C30" w:rsidRPr="00D34C30" w:rsidRDefault="00D34C30" w:rsidP="00D34C30">
            <w:pPr>
              <w:spacing w:after="0" w:line="240" w:lineRule="auto"/>
              <w:ind w:left="0" w:firstLine="0"/>
              <w:rPr>
                <w:rFonts w:ascii="Calibri" w:hAnsi="Calibri"/>
              </w:rPr>
            </w:pPr>
            <w:r w:rsidRPr="00D34C30">
              <w:rPr>
                <w:rFonts w:ascii="Calibri" w:hAnsi="Calibri"/>
              </w:rPr>
              <w:t xml:space="preserve">National population </w:t>
            </w:r>
            <w:r w:rsidR="00DB0DDC">
              <w:rPr>
                <w:rFonts w:ascii="Calibri" w:hAnsi="Calibri"/>
              </w:rPr>
              <w:t>(</w:t>
            </w:r>
            <w:r w:rsidRPr="00D34C30">
              <w:rPr>
                <w:rFonts w:ascii="Calibri" w:hAnsi="Calibri"/>
              </w:rPr>
              <w:t>Million</w:t>
            </w:r>
            <w:r w:rsidR="00DB0DDC">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60A2B0C0" w14:textId="26A3670D" w:rsidR="00D34C30" w:rsidRPr="00D34C30" w:rsidRDefault="00D34C30" w:rsidP="00C17CA7">
            <w:pPr>
              <w:spacing w:after="0" w:line="240" w:lineRule="auto"/>
              <w:ind w:left="0" w:firstLine="0"/>
              <w:jc w:val="right"/>
              <w:rPr>
                <w:rFonts w:ascii="Calibri" w:hAnsi="Calibri"/>
              </w:rPr>
            </w:pPr>
            <w:r w:rsidRPr="00D34C30">
              <w:rPr>
                <w:rFonts w:ascii="Calibri" w:hAnsi="Calibri"/>
              </w:rPr>
              <w:t xml:space="preserve">                        1.90 </w:t>
            </w:r>
          </w:p>
        </w:tc>
      </w:tr>
      <w:tr w:rsidR="00D34C30" w:rsidRPr="00D34C30" w14:paraId="2BDC9857"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748DCE3F" w14:textId="77777777" w:rsidR="00D34C30" w:rsidRPr="00D34C30" w:rsidRDefault="00D34C30" w:rsidP="00D34C30">
            <w:pPr>
              <w:spacing w:after="0" w:line="240" w:lineRule="auto"/>
              <w:ind w:left="0" w:firstLine="0"/>
              <w:jc w:val="right"/>
              <w:rPr>
                <w:rFonts w:ascii="Calibri" w:hAnsi="Calibri"/>
              </w:rPr>
            </w:pPr>
            <w:r w:rsidRPr="00D34C30">
              <w:rPr>
                <w:rFonts w:ascii="Calibri" w:hAnsi="Calibri"/>
              </w:rPr>
              <w:t>14</w:t>
            </w:r>
          </w:p>
        </w:tc>
        <w:tc>
          <w:tcPr>
            <w:tcW w:w="5428" w:type="dxa"/>
            <w:tcBorders>
              <w:top w:val="nil"/>
              <w:left w:val="nil"/>
              <w:bottom w:val="single" w:sz="4" w:space="0" w:color="auto"/>
              <w:right w:val="single" w:sz="4" w:space="0" w:color="auto"/>
            </w:tcBorders>
            <w:shd w:val="clear" w:color="auto" w:fill="auto"/>
            <w:noWrap/>
            <w:vAlign w:val="bottom"/>
            <w:hideMark/>
          </w:tcPr>
          <w:p w14:paraId="7F2E39C0" w14:textId="5AF88B06" w:rsidR="00D34C30" w:rsidRPr="00D34C30" w:rsidRDefault="002B3E87" w:rsidP="00D34C30">
            <w:pPr>
              <w:spacing w:after="0" w:line="240" w:lineRule="auto"/>
              <w:ind w:left="0" w:firstLine="0"/>
              <w:rPr>
                <w:rFonts w:ascii="Calibri" w:hAnsi="Calibri"/>
              </w:rPr>
            </w:pPr>
            <w:r>
              <w:rPr>
                <w:rFonts w:ascii="Calibri" w:hAnsi="Calibri"/>
              </w:rPr>
              <w:t>Per capita</w:t>
            </w:r>
            <w:r w:rsidRPr="00D34C30">
              <w:rPr>
                <w:rFonts w:ascii="Calibri" w:hAnsi="Calibri"/>
              </w:rPr>
              <w:t xml:space="preserve"> </w:t>
            </w:r>
            <w:r w:rsidR="00D34C30" w:rsidRPr="00D34C30">
              <w:rPr>
                <w:rFonts w:ascii="Calibri" w:hAnsi="Calibri"/>
              </w:rPr>
              <w:t>consum</w:t>
            </w:r>
            <w:r w:rsidR="00C17CA7">
              <w:rPr>
                <w:rFonts w:ascii="Calibri" w:hAnsi="Calibri"/>
              </w:rPr>
              <w:t>p</w:t>
            </w:r>
            <w:r w:rsidR="00D34C30" w:rsidRPr="00D34C30">
              <w:rPr>
                <w:rFonts w:ascii="Calibri" w:hAnsi="Calibri"/>
              </w:rPr>
              <w:t xml:space="preserve">tion </w:t>
            </w:r>
            <w:r w:rsidR="00EB3C01">
              <w:rPr>
                <w:rFonts w:ascii="Calibri" w:hAnsi="Calibri"/>
              </w:rPr>
              <w:t>(</w:t>
            </w:r>
            <w:r w:rsidR="00D34C30" w:rsidRPr="00D34C30">
              <w:rPr>
                <w:rFonts w:ascii="Calibri" w:hAnsi="Calibri"/>
              </w:rPr>
              <w:t>Kg</w:t>
            </w:r>
            <w:r>
              <w:rPr>
                <w:rFonts w:ascii="Calibri" w:hAnsi="Calibri"/>
              </w:rPr>
              <w:t>/year</w:t>
            </w:r>
            <w:r w:rsidR="00EB3C01">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2B6A6620" w14:textId="19BDDB16" w:rsidR="00D34C30" w:rsidRPr="00D34C30" w:rsidRDefault="00D34C30" w:rsidP="002B3E87">
            <w:pPr>
              <w:spacing w:after="0" w:line="240" w:lineRule="auto"/>
              <w:ind w:left="0" w:firstLine="0"/>
              <w:jc w:val="right"/>
              <w:rPr>
                <w:rFonts w:ascii="Calibri" w:hAnsi="Calibri"/>
              </w:rPr>
            </w:pPr>
            <w:r w:rsidRPr="00D34C30">
              <w:rPr>
                <w:rFonts w:ascii="Calibri" w:hAnsi="Calibri"/>
              </w:rPr>
              <w:t xml:space="preserve">                </w:t>
            </w:r>
            <w:r w:rsidR="003033AB">
              <w:rPr>
                <w:rFonts w:ascii="Calibri" w:hAnsi="Calibri"/>
              </w:rPr>
              <w:t xml:space="preserve"> 26</w:t>
            </w:r>
            <w:r w:rsidR="002B3E87">
              <w:rPr>
                <w:rFonts w:ascii="Calibri" w:hAnsi="Calibri"/>
              </w:rPr>
              <w:t>.</w:t>
            </w:r>
            <w:r w:rsidR="003033AB">
              <w:rPr>
                <w:rFonts w:ascii="Calibri" w:hAnsi="Calibri"/>
              </w:rPr>
              <w:t>19</w:t>
            </w:r>
            <w:r w:rsidR="002B3E87">
              <w:rPr>
                <w:rFonts w:ascii="Calibri" w:hAnsi="Calibri"/>
              </w:rPr>
              <w:t>1</w:t>
            </w:r>
          </w:p>
        </w:tc>
      </w:tr>
      <w:tr w:rsidR="00D34C30" w:rsidRPr="00D34C30" w14:paraId="2EA7286D" w14:textId="77777777" w:rsidTr="0001308D">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8CD1CB8" w14:textId="6E2AF9A4" w:rsidR="00D34C30" w:rsidRPr="00D34C30" w:rsidRDefault="00D34C30" w:rsidP="00D34C30">
            <w:pPr>
              <w:spacing w:after="0" w:line="240" w:lineRule="auto"/>
              <w:ind w:left="0" w:firstLine="0"/>
              <w:rPr>
                <w:rFonts w:ascii="Calibri" w:hAnsi="Calibri"/>
              </w:rPr>
            </w:pPr>
            <w:r w:rsidRPr="00D34C30">
              <w:rPr>
                <w:rFonts w:ascii="Calibri" w:hAnsi="Calibri"/>
              </w:rPr>
              <w:t> </w:t>
            </w:r>
            <w:r w:rsidR="00C43D04">
              <w:rPr>
                <w:rFonts w:ascii="Calibri" w:hAnsi="Calibri"/>
              </w:rPr>
              <w:t xml:space="preserve">         15</w:t>
            </w:r>
          </w:p>
        </w:tc>
        <w:tc>
          <w:tcPr>
            <w:tcW w:w="5428" w:type="dxa"/>
            <w:tcBorders>
              <w:top w:val="nil"/>
              <w:left w:val="nil"/>
              <w:bottom w:val="single" w:sz="4" w:space="0" w:color="auto"/>
              <w:right w:val="single" w:sz="4" w:space="0" w:color="auto"/>
            </w:tcBorders>
            <w:shd w:val="clear" w:color="auto" w:fill="auto"/>
            <w:noWrap/>
            <w:vAlign w:val="bottom"/>
            <w:hideMark/>
          </w:tcPr>
          <w:p w14:paraId="7FD393E2" w14:textId="757217C8" w:rsidR="00D34C30" w:rsidRPr="00D34C30" w:rsidRDefault="00D34C30" w:rsidP="00D34C30">
            <w:pPr>
              <w:spacing w:after="0" w:line="240" w:lineRule="auto"/>
              <w:ind w:left="0" w:firstLine="0"/>
              <w:rPr>
                <w:rFonts w:ascii="Calibri" w:hAnsi="Calibri"/>
              </w:rPr>
            </w:pPr>
            <w:r w:rsidRPr="00D34C30">
              <w:rPr>
                <w:rFonts w:ascii="Calibri" w:hAnsi="Calibri"/>
              </w:rPr>
              <w:t xml:space="preserve">Per capita consumption </w:t>
            </w:r>
            <w:r w:rsidR="00EB3C01">
              <w:rPr>
                <w:rFonts w:ascii="Calibri" w:hAnsi="Calibri"/>
              </w:rPr>
              <w:t>(</w:t>
            </w:r>
            <w:r w:rsidRPr="00D34C30">
              <w:rPr>
                <w:rFonts w:ascii="Calibri" w:hAnsi="Calibri"/>
              </w:rPr>
              <w:t>g</w:t>
            </w:r>
            <w:r w:rsidR="002B3E87">
              <w:rPr>
                <w:rFonts w:ascii="Calibri" w:hAnsi="Calibri"/>
              </w:rPr>
              <w:t>/day</w:t>
            </w:r>
            <w:r w:rsidR="00EB3C01">
              <w:rPr>
                <w:rFonts w:ascii="Calibri" w:hAnsi="Calibri"/>
              </w:rPr>
              <w:t>)</w:t>
            </w:r>
          </w:p>
        </w:tc>
        <w:tc>
          <w:tcPr>
            <w:tcW w:w="1813" w:type="dxa"/>
            <w:tcBorders>
              <w:top w:val="nil"/>
              <w:left w:val="nil"/>
              <w:bottom w:val="single" w:sz="4" w:space="0" w:color="auto"/>
              <w:right w:val="single" w:sz="4" w:space="0" w:color="auto"/>
            </w:tcBorders>
            <w:shd w:val="clear" w:color="auto" w:fill="auto"/>
            <w:noWrap/>
            <w:vAlign w:val="bottom"/>
            <w:hideMark/>
          </w:tcPr>
          <w:p w14:paraId="72DD4B85" w14:textId="77777777" w:rsidR="00D34C30" w:rsidRPr="00D34C30" w:rsidRDefault="00D34C30" w:rsidP="00C17CA7">
            <w:pPr>
              <w:spacing w:after="0" w:line="240" w:lineRule="auto"/>
              <w:ind w:left="0" w:firstLine="0"/>
              <w:jc w:val="right"/>
              <w:rPr>
                <w:rFonts w:ascii="Calibri" w:hAnsi="Calibri"/>
              </w:rPr>
            </w:pPr>
            <w:r w:rsidRPr="00D34C30">
              <w:rPr>
                <w:rFonts w:ascii="Calibri" w:hAnsi="Calibri"/>
              </w:rPr>
              <w:t>77</w:t>
            </w:r>
          </w:p>
        </w:tc>
      </w:tr>
    </w:tbl>
    <w:p w14:paraId="31583F82" w14:textId="77777777" w:rsidR="005A0AC8" w:rsidRPr="00B102F0" w:rsidRDefault="005A0AC8" w:rsidP="002B2C64">
      <w:pPr>
        <w:jc w:val="right"/>
      </w:pPr>
    </w:p>
    <w:p w14:paraId="18B341B9" w14:textId="238AA061" w:rsidR="00E61D71" w:rsidRDefault="00E61D71" w:rsidP="00E61D71">
      <w:pPr>
        <w:pStyle w:val="ListParagraph"/>
        <w:spacing w:after="200" w:line="360" w:lineRule="auto"/>
        <w:ind w:left="0" w:hanging="11"/>
        <w:jc w:val="both"/>
        <w:rPr>
          <w:color w:val="FF0000"/>
        </w:rPr>
      </w:pPr>
      <w:r w:rsidRPr="00B1288C">
        <w:rPr>
          <w:color w:val="auto"/>
        </w:rPr>
        <w:t>Groundnut is an essential component of the diet of Gambians; it is</w:t>
      </w:r>
      <w:r w:rsidR="002C764F">
        <w:rPr>
          <w:color w:val="auto"/>
        </w:rPr>
        <w:t xml:space="preserve"> a</w:t>
      </w:r>
      <w:r w:rsidRPr="00B1288C">
        <w:rPr>
          <w:color w:val="auto"/>
        </w:rPr>
        <w:t xml:space="preserve"> valuable source of plant protein. Based on the information from the focus group discussions with rural and peri-urban stakeholders, groundnut is consumed at least </w:t>
      </w:r>
      <w:r w:rsidR="00D46774">
        <w:rPr>
          <w:color w:val="auto"/>
        </w:rPr>
        <w:t>thrice</w:t>
      </w:r>
      <w:r w:rsidRPr="00B1288C">
        <w:rPr>
          <w:color w:val="auto"/>
        </w:rPr>
        <w:t xml:space="preserve"> a day. The groundnuts consumed are likely to be contaminated by moulds and aflatoxins thus compromising safety of the food.</w:t>
      </w:r>
      <w:r w:rsidRPr="00230F58">
        <w:rPr>
          <w:color w:val="FF0000"/>
        </w:rPr>
        <w:t xml:space="preserve">  </w:t>
      </w:r>
    </w:p>
    <w:p w14:paraId="2FED24A9" w14:textId="77777777" w:rsidR="00E61D71" w:rsidRDefault="00E61D71" w:rsidP="00E61D71">
      <w:pPr>
        <w:pStyle w:val="ListParagraph"/>
        <w:spacing w:after="200" w:line="360" w:lineRule="auto"/>
        <w:ind w:left="0" w:hanging="11"/>
        <w:jc w:val="both"/>
        <w:rPr>
          <w:color w:val="FF0000"/>
        </w:rPr>
      </w:pPr>
    </w:p>
    <w:p w14:paraId="37A421B1" w14:textId="1837645C" w:rsidR="00E61D71" w:rsidRPr="008275A2" w:rsidRDefault="00E61D71" w:rsidP="00E61D71">
      <w:pPr>
        <w:pStyle w:val="ListParagraph"/>
        <w:spacing w:after="200" w:line="360" w:lineRule="auto"/>
        <w:ind w:left="0" w:hanging="11"/>
        <w:jc w:val="both"/>
        <w:rPr>
          <w:color w:val="auto"/>
        </w:rPr>
      </w:pPr>
      <w:r>
        <w:t>Groundnut derivatives, i.e. crude oil and cake, are exported.</w:t>
      </w:r>
      <w:r w:rsidRPr="00306CBA">
        <w:t xml:space="preserve"> The balance of groundnut cake after export is </w:t>
      </w:r>
      <w:r w:rsidRPr="008275A2">
        <w:rPr>
          <w:color w:val="auto"/>
        </w:rPr>
        <w:t xml:space="preserve">fed to livestock, mainly poultry in the form of compounded feed (containing maize, groundnut cake and rice bran). Most of the aflatoxins are extracted during the oil extraction process. The high aflatoxin </w:t>
      </w:r>
      <w:r w:rsidRPr="008275A2">
        <w:rPr>
          <w:color w:val="auto"/>
        </w:rPr>
        <w:lastRenderedPageBreak/>
        <w:t>contamination in groundnut and its derivatives apart from the oil</w:t>
      </w:r>
      <w:r w:rsidR="0060629F">
        <w:rPr>
          <w:rStyle w:val="FootnoteReference"/>
          <w:color w:val="auto"/>
        </w:rPr>
        <w:footnoteReference w:id="1"/>
      </w:r>
      <w:r w:rsidRPr="008275A2">
        <w:rPr>
          <w:color w:val="auto"/>
        </w:rPr>
        <w:t xml:space="preserve"> constitutes a potential food safety hazard posing health risk to both humans and animals. Groundnut hay, estimated at 1.5 Mt per hectare, is collected after the groundnut is harvested is dried and conserved for feeding mainly draft animals and small ruminants. Groundnut farmers also sell some of their hay to supplement their income.</w:t>
      </w:r>
    </w:p>
    <w:p w14:paraId="2EAD42EB" w14:textId="70A5A438" w:rsidR="00E61D71" w:rsidRPr="00573E53" w:rsidRDefault="0085234D" w:rsidP="00A72DFD">
      <w:pPr>
        <w:pStyle w:val="Heading2"/>
        <w:spacing w:line="480" w:lineRule="auto"/>
        <w:jc w:val="both"/>
      </w:pPr>
      <w:bookmarkStart w:id="15" w:name="_Toc427672752"/>
      <w:r>
        <w:t>6</w:t>
      </w:r>
      <w:r w:rsidR="00B00E14">
        <w:t>.</w:t>
      </w:r>
      <w:r w:rsidR="002D4A16" w:rsidRPr="00573E53">
        <w:t>2 Final uses of m</w:t>
      </w:r>
      <w:r w:rsidR="00E61D71" w:rsidRPr="00573E53">
        <w:t>aize</w:t>
      </w:r>
      <w:bookmarkEnd w:id="15"/>
    </w:p>
    <w:p w14:paraId="47ECED04" w14:textId="681BF6C5" w:rsidR="00E61D71" w:rsidRPr="00573E53" w:rsidRDefault="00E61D71" w:rsidP="00E61D71">
      <w:pPr>
        <w:spacing w:after="157" w:line="360" w:lineRule="auto"/>
        <w:ind w:left="0" w:firstLine="0"/>
        <w:jc w:val="both"/>
        <w:rPr>
          <w:color w:val="FF0000"/>
        </w:rPr>
      </w:pPr>
      <w:r w:rsidRPr="008275A2">
        <w:rPr>
          <w:color w:val="auto"/>
        </w:rPr>
        <w:t xml:space="preserve">Information obtained during the </w:t>
      </w:r>
      <w:r w:rsidRPr="00701329">
        <w:t xml:space="preserve">FGDs in March 2015 indicate that, on average, 50% of the maize crop produced by farmers is marketed </w:t>
      </w:r>
      <w:r w:rsidRPr="00306CBA">
        <w:t>and the remaining 50% is used for home consumption and seed for the next cropping season. The consultant’s expert view suggests that at least 80% of the marketed c</w:t>
      </w:r>
      <w:r>
        <w:t>rop</w:t>
      </w:r>
      <w:r w:rsidRPr="00306CBA">
        <w:t xml:space="preserve"> is used for human consumption and the rest fed to poultry</w:t>
      </w:r>
      <w:r>
        <w:t>.</w:t>
      </w:r>
      <w:r w:rsidRPr="001A02D1">
        <w:rPr>
          <w:color w:val="auto"/>
        </w:rPr>
        <w:t xml:space="preserve"> </w:t>
      </w:r>
      <w:r w:rsidRPr="009231BB">
        <w:rPr>
          <w:color w:val="auto"/>
        </w:rPr>
        <w:t xml:space="preserve">Maize constitutes an important component of the diet of Gambians, particularly in the rural areas where it is consumed at least once a day mostly blended with millet for couscous or porridge. Per capita consumption of maize is estimated at </w:t>
      </w:r>
      <w:r w:rsidRPr="006557EE">
        <w:rPr>
          <w:color w:val="auto"/>
        </w:rPr>
        <w:t xml:space="preserve">152 kcal/day (FAOSTAT, ). Maize grain and stover are important livestock feeds. Maize grain is used in the manufacture of poultry feeds making up about 60-70% of the ingredients. </w:t>
      </w:r>
      <w:r w:rsidR="00D42A4F" w:rsidRPr="006557EE">
        <w:rPr>
          <w:color w:val="auto"/>
        </w:rPr>
        <w:t>Maize stover</w:t>
      </w:r>
      <w:r w:rsidRPr="006557EE">
        <w:rPr>
          <w:color w:val="auto"/>
        </w:rPr>
        <w:t xml:space="preserve"> is mo</w:t>
      </w:r>
      <w:r>
        <w:rPr>
          <w:color w:val="auto"/>
        </w:rPr>
        <w:t>stly</w:t>
      </w:r>
      <w:r w:rsidRPr="001A02D1">
        <w:rPr>
          <w:color w:val="auto"/>
        </w:rPr>
        <w:t xml:space="preserve"> left in the fields and grazed by livestock after the harvest.</w:t>
      </w:r>
      <w:r w:rsidRPr="00573E53">
        <w:rPr>
          <w:color w:val="FF0000"/>
        </w:rPr>
        <w:t xml:space="preserve"> </w:t>
      </w:r>
    </w:p>
    <w:p w14:paraId="22AA8656" w14:textId="34967EFD" w:rsidR="00E61D71" w:rsidRPr="00573E53" w:rsidRDefault="0085234D" w:rsidP="00A72DFD">
      <w:pPr>
        <w:pStyle w:val="Heading2"/>
        <w:spacing w:line="480" w:lineRule="auto"/>
        <w:jc w:val="both"/>
      </w:pPr>
      <w:bookmarkStart w:id="16" w:name="_Toc427672753"/>
      <w:r>
        <w:t>6</w:t>
      </w:r>
      <w:r w:rsidR="00B00E14">
        <w:t>.</w:t>
      </w:r>
      <w:r w:rsidR="002D4A16" w:rsidRPr="00573E53">
        <w:t>3 Final uses of r</w:t>
      </w:r>
      <w:r w:rsidR="00E61D71" w:rsidRPr="00573E53">
        <w:t>ice</w:t>
      </w:r>
      <w:bookmarkEnd w:id="16"/>
    </w:p>
    <w:p w14:paraId="02F061F2" w14:textId="5FFF325B" w:rsidR="00E61D71" w:rsidRPr="00A2788F" w:rsidRDefault="00E61D71" w:rsidP="00E61D71">
      <w:pPr>
        <w:pStyle w:val="ListParagraph"/>
        <w:spacing w:after="200" w:line="360" w:lineRule="auto"/>
        <w:ind w:left="0" w:hanging="11"/>
        <w:jc w:val="both"/>
        <w:rPr>
          <w:color w:val="auto"/>
        </w:rPr>
      </w:pPr>
      <w:r>
        <w:rPr>
          <w:color w:val="auto"/>
        </w:rPr>
        <w:t xml:space="preserve">Ninety percent of the rice produced is </w:t>
      </w:r>
      <w:r w:rsidRPr="00306CBA">
        <w:rPr>
          <w:color w:val="auto"/>
        </w:rPr>
        <w:t>consumed by the producing households and the remaining 10% is for sale and seed</w:t>
      </w:r>
      <w:r w:rsidR="00A32F82">
        <w:rPr>
          <w:color w:val="auto"/>
        </w:rPr>
        <w:t xml:space="preserve">; this owes to the fact that rice farmers </w:t>
      </w:r>
      <w:r w:rsidRPr="00306CBA">
        <w:rPr>
          <w:color w:val="auto"/>
        </w:rPr>
        <w:t>do not produce enough to satisfy their needs for the whole year. It was estimated that local production covers the needs of producers for between 2 to 12 months of the year. Households having all year round rice self-sufficiency from own production</w:t>
      </w:r>
      <w:r w:rsidR="00F769D1">
        <w:rPr>
          <w:color w:val="auto"/>
        </w:rPr>
        <w:t>s</w:t>
      </w:r>
      <w:r w:rsidRPr="00306CBA">
        <w:rPr>
          <w:color w:val="auto"/>
        </w:rPr>
        <w:t xml:space="preserve"> are in the minority. Rice producing household</w:t>
      </w:r>
      <w:r>
        <w:rPr>
          <w:color w:val="auto"/>
        </w:rPr>
        <w:t>s</w:t>
      </w:r>
      <w:r w:rsidRPr="00306CBA">
        <w:rPr>
          <w:color w:val="auto"/>
        </w:rPr>
        <w:t xml:space="preserve"> that are not self-sufficient resort to buying imported rice. The Gambia imported</w:t>
      </w:r>
      <w:r w:rsidRPr="00B939F5">
        <w:rPr>
          <w:color w:val="FF0000"/>
        </w:rPr>
        <w:t xml:space="preserve"> </w:t>
      </w:r>
      <w:r w:rsidRPr="00525F35">
        <w:rPr>
          <w:color w:val="auto"/>
        </w:rPr>
        <w:t>88,214</w:t>
      </w:r>
      <w:r w:rsidR="00525F35">
        <w:rPr>
          <w:color w:val="auto"/>
        </w:rPr>
        <w:t xml:space="preserve"> Mt</w:t>
      </w:r>
      <w:r w:rsidRPr="00525F35">
        <w:rPr>
          <w:color w:val="auto"/>
        </w:rPr>
        <w:t>, 140,672</w:t>
      </w:r>
      <w:r w:rsidR="00525F35">
        <w:rPr>
          <w:color w:val="auto"/>
        </w:rPr>
        <w:t xml:space="preserve"> Mt</w:t>
      </w:r>
      <w:r w:rsidRPr="00525F35">
        <w:rPr>
          <w:color w:val="auto"/>
        </w:rPr>
        <w:t xml:space="preserve"> and 1</w:t>
      </w:r>
      <w:r w:rsidR="00FB4B6F" w:rsidRPr="00525F35">
        <w:rPr>
          <w:color w:val="auto"/>
        </w:rPr>
        <w:t>39,871</w:t>
      </w:r>
      <w:r w:rsidRPr="00525F35">
        <w:rPr>
          <w:color w:val="auto"/>
        </w:rPr>
        <w:t xml:space="preserve"> Mt of rice in 2010, 2012 and 2014, respectively (GBOS, 2015). </w:t>
      </w:r>
      <w:r w:rsidR="00FB4B6F" w:rsidRPr="00525F35">
        <w:rPr>
          <w:color w:val="auto"/>
        </w:rPr>
        <w:t>T</w:t>
      </w:r>
      <w:r w:rsidRPr="00525F35">
        <w:rPr>
          <w:color w:val="auto"/>
        </w:rPr>
        <w:t>he av</w:t>
      </w:r>
      <w:r w:rsidRPr="009231BB">
        <w:rPr>
          <w:color w:val="auto"/>
        </w:rPr>
        <w:t>erage Gambian consumes rice at least once a day.</w:t>
      </w:r>
      <w:r w:rsidRPr="00A2788F">
        <w:rPr>
          <w:color w:val="auto"/>
        </w:rPr>
        <w:t xml:space="preserve"> Per capita consumption of rice is estimated at 320 g/day (CIL</w:t>
      </w:r>
      <w:r w:rsidR="00B939F5">
        <w:rPr>
          <w:color w:val="auto"/>
        </w:rPr>
        <w:t>S</w:t>
      </w:r>
      <w:r w:rsidRPr="00A2788F">
        <w:rPr>
          <w:color w:val="auto"/>
        </w:rPr>
        <w:t xml:space="preserve">S Cereal Balance Sheet, </w:t>
      </w:r>
      <w:r w:rsidR="000E1E7E">
        <w:rPr>
          <w:color w:val="auto"/>
        </w:rPr>
        <w:t>2012</w:t>
      </w:r>
      <w:r w:rsidRPr="00A2788F">
        <w:rPr>
          <w:color w:val="auto"/>
        </w:rPr>
        <w:t>)</w:t>
      </w:r>
      <w:r w:rsidR="00D42A4F" w:rsidRPr="00A2788F">
        <w:rPr>
          <w:color w:val="auto"/>
        </w:rPr>
        <w:t>.</w:t>
      </w:r>
    </w:p>
    <w:p w14:paraId="5AEA2614" w14:textId="12555139" w:rsidR="00E61D71" w:rsidRPr="00306CBA" w:rsidRDefault="00E61D71" w:rsidP="00E61D71">
      <w:pPr>
        <w:tabs>
          <w:tab w:val="left" w:pos="3105"/>
        </w:tabs>
        <w:spacing w:line="360" w:lineRule="auto"/>
        <w:ind w:left="-15" w:firstLine="0"/>
        <w:jc w:val="both"/>
        <w:rPr>
          <w:color w:val="auto"/>
        </w:rPr>
      </w:pPr>
      <w:r w:rsidRPr="00306CBA">
        <w:rPr>
          <w:color w:val="auto"/>
        </w:rPr>
        <w:t>The by-product</w:t>
      </w:r>
      <w:r>
        <w:rPr>
          <w:color w:val="auto"/>
        </w:rPr>
        <w:t>s</w:t>
      </w:r>
      <w:r w:rsidRPr="00306CBA">
        <w:rPr>
          <w:color w:val="auto"/>
        </w:rPr>
        <w:t xml:space="preserve"> of rice processing, the bran, is used as a component of supplementary feeds for livestock and compounded feeds mainly for poultry and pigs</w:t>
      </w:r>
      <w:r>
        <w:rPr>
          <w:color w:val="auto"/>
        </w:rPr>
        <w:t>; the husk is discarded</w:t>
      </w:r>
      <w:r w:rsidR="00D42A4F">
        <w:rPr>
          <w:color w:val="auto"/>
        </w:rPr>
        <w:t>. Rice straw</w:t>
      </w:r>
      <w:r>
        <w:rPr>
          <w:color w:val="FF0000"/>
        </w:rPr>
        <w:t xml:space="preserve"> </w:t>
      </w:r>
      <w:r w:rsidRPr="00306CBA">
        <w:rPr>
          <w:color w:val="auto"/>
        </w:rPr>
        <w:t xml:space="preserve">is left in the fields and grazed by cattle and small ruminants, however, there is an emerging trend in which the straw is commercialized in livestock markets. </w:t>
      </w:r>
    </w:p>
    <w:p w14:paraId="64789946" w14:textId="0ACDF742" w:rsidR="00E61D71" w:rsidRPr="00573E53" w:rsidRDefault="00AB7996" w:rsidP="00A72DFD">
      <w:pPr>
        <w:pStyle w:val="Heading2"/>
        <w:spacing w:line="480" w:lineRule="auto"/>
        <w:jc w:val="both"/>
      </w:pPr>
      <w:bookmarkStart w:id="17" w:name="_Toc427672754"/>
      <w:r>
        <w:lastRenderedPageBreak/>
        <w:t xml:space="preserve">6.4 </w:t>
      </w:r>
      <w:r w:rsidR="00573E53">
        <w:t>Risk of c</w:t>
      </w:r>
      <w:r w:rsidR="00E61D71" w:rsidRPr="00573E53">
        <w:t>ontamination along the groundnut, maize and rice value chains</w:t>
      </w:r>
      <w:bookmarkEnd w:id="17"/>
      <w:r w:rsidR="00E61D71" w:rsidRPr="00573E53">
        <w:t xml:space="preserve"> </w:t>
      </w:r>
    </w:p>
    <w:p w14:paraId="76D828B3" w14:textId="316C2219" w:rsidR="00E61D71" w:rsidRPr="00306CBA" w:rsidRDefault="00E61D71" w:rsidP="00E61D71">
      <w:pPr>
        <w:spacing w:line="360" w:lineRule="auto"/>
        <w:ind w:left="-6" w:hanging="11"/>
        <w:jc w:val="both"/>
        <w:rPr>
          <w:color w:val="FF0000"/>
        </w:rPr>
      </w:pPr>
      <w:r w:rsidRPr="00306CBA">
        <w:rPr>
          <w:color w:val="auto"/>
        </w:rPr>
        <w:t>Aflatoxins can affect the entire groundnut, maize and rice supply chain</w:t>
      </w:r>
      <w:r w:rsidR="00A2654C">
        <w:rPr>
          <w:color w:val="auto"/>
        </w:rPr>
        <w:t>s</w:t>
      </w:r>
      <w:r w:rsidRPr="00306CBA">
        <w:rPr>
          <w:color w:val="auto"/>
        </w:rPr>
        <w:t xml:space="preserve"> beginning at the farmer’s field. The analysis of risks of contamination </w:t>
      </w:r>
      <w:r w:rsidR="00A2654C">
        <w:rPr>
          <w:color w:val="auto"/>
        </w:rPr>
        <w:t xml:space="preserve">was </w:t>
      </w:r>
      <w:r w:rsidR="000E043D">
        <w:rPr>
          <w:color w:val="auto"/>
        </w:rPr>
        <w:t xml:space="preserve">performed </w:t>
      </w:r>
      <w:r w:rsidR="00A2654C">
        <w:rPr>
          <w:color w:val="auto"/>
        </w:rPr>
        <w:t xml:space="preserve">along the value chains of the three commodities </w:t>
      </w:r>
      <w:r w:rsidRPr="00306CBA">
        <w:rPr>
          <w:color w:val="auto"/>
        </w:rPr>
        <w:t>begin</w:t>
      </w:r>
      <w:r w:rsidR="00A2654C">
        <w:rPr>
          <w:color w:val="auto"/>
        </w:rPr>
        <w:t>ning</w:t>
      </w:r>
      <w:r w:rsidRPr="00306CBA">
        <w:rPr>
          <w:color w:val="auto"/>
        </w:rPr>
        <w:t xml:space="preserve"> with pre-harvest and </w:t>
      </w:r>
      <w:r w:rsidR="000E043D">
        <w:rPr>
          <w:color w:val="auto"/>
        </w:rPr>
        <w:t xml:space="preserve">extending to </w:t>
      </w:r>
      <w:r w:rsidRPr="00306CBA">
        <w:rPr>
          <w:color w:val="auto"/>
        </w:rPr>
        <w:t>post-harvest contamination that directly impact agriculture and food security; risks of contamination and exposure in domestic and international trade</w:t>
      </w:r>
      <w:r w:rsidR="005704E6">
        <w:rPr>
          <w:color w:val="auto"/>
        </w:rPr>
        <w:t>.</w:t>
      </w:r>
      <w:r w:rsidRPr="00306CBA">
        <w:rPr>
          <w:color w:val="auto"/>
        </w:rPr>
        <w:t xml:space="preserve">  </w:t>
      </w:r>
    </w:p>
    <w:p w14:paraId="5D9E5A54" w14:textId="2062EC83" w:rsidR="00E61D71" w:rsidRPr="00573E53" w:rsidRDefault="00AB7996" w:rsidP="00A72DFD">
      <w:pPr>
        <w:pStyle w:val="Heading3"/>
        <w:spacing w:line="480" w:lineRule="auto"/>
        <w:jc w:val="both"/>
      </w:pPr>
      <w:bookmarkStart w:id="18" w:name="_Toc427672755"/>
      <w:r>
        <w:t>6.4</w:t>
      </w:r>
      <w:r w:rsidR="00DA5F13" w:rsidRPr="00573E53">
        <w:t xml:space="preserve">.1 </w:t>
      </w:r>
      <w:r w:rsidR="00E61D71" w:rsidRPr="00573E53">
        <w:t>Risk of contamination at pre-harvest</w:t>
      </w:r>
      <w:bookmarkEnd w:id="18"/>
    </w:p>
    <w:p w14:paraId="1EFC39BC" w14:textId="310029F6" w:rsidR="00E61D71" w:rsidRPr="00306CBA" w:rsidRDefault="008B56D2" w:rsidP="00E61D71">
      <w:pPr>
        <w:spacing w:after="157" w:line="360" w:lineRule="auto"/>
        <w:ind w:left="0" w:firstLine="0"/>
        <w:jc w:val="both"/>
      </w:pPr>
      <w:r>
        <w:t>C</w:t>
      </w:r>
      <w:r w:rsidR="00E61D71" w:rsidRPr="00306CBA">
        <w:t xml:space="preserve">ontamination </w:t>
      </w:r>
      <w:r>
        <w:t xml:space="preserve">of agricultural commodities by aflatoxins </w:t>
      </w:r>
      <w:r w:rsidR="00E61D71" w:rsidRPr="00306CBA">
        <w:t xml:space="preserve">can occur at any stage </w:t>
      </w:r>
      <w:r w:rsidR="00B268F7">
        <w:t xml:space="preserve">of the chain </w:t>
      </w:r>
      <w:r w:rsidR="00E61D71" w:rsidRPr="00306CBA">
        <w:t>from production, harvesting, post-harvest handling, processing, storage and distribution. Good Agricultural Practices (GAP)</w:t>
      </w:r>
      <w:r w:rsidR="00E61D71" w:rsidRPr="00306CBA">
        <w:rPr>
          <w:color w:val="auto"/>
        </w:rPr>
        <w:t xml:space="preserve"> such as </w:t>
      </w:r>
      <w:r w:rsidR="005704E6">
        <w:rPr>
          <w:color w:val="auto"/>
        </w:rPr>
        <w:t xml:space="preserve">the use of certified seeds, </w:t>
      </w:r>
      <w:r w:rsidR="00E61D71" w:rsidRPr="00306CBA">
        <w:rPr>
          <w:color w:val="auto"/>
        </w:rPr>
        <w:t>timely planting, maintaining optimal plant densities, timely application of fertilizer at the recommended rate, avoidance of drought stress and controlling other plant pathogens, weeds, and insect pests can reduce infestation in the field.</w:t>
      </w:r>
      <w:r w:rsidR="00E61D71" w:rsidRPr="00306CBA">
        <w:t xml:space="preserve"> </w:t>
      </w:r>
    </w:p>
    <w:p w14:paraId="4D3FA661" w14:textId="1F5DBF49" w:rsidR="00E61D71" w:rsidRPr="00306CBA" w:rsidRDefault="00E61D71" w:rsidP="00E61D71">
      <w:pPr>
        <w:spacing w:line="360" w:lineRule="auto"/>
        <w:jc w:val="both"/>
      </w:pPr>
      <w:r w:rsidRPr="00306CBA">
        <w:rPr>
          <w:color w:val="auto"/>
        </w:rPr>
        <w:t xml:space="preserve">Our field research revealed that there is limited </w:t>
      </w:r>
      <w:r w:rsidR="00FD5771">
        <w:rPr>
          <w:color w:val="auto"/>
        </w:rPr>
        <w:t xml:space="preserve">knowledge and </w:t>
      </w:r>
      <w:r w:rsidRPr="00306CBA">
        <w:rPr>
          <w:color w:val="auto"/>
        </w:rPr>
        <w:t xml:space="preserve">application of GAP by groundnut, maize and rice farmers aimed at mitigating aflatoxin contamination. Farmers’ access to production inputs such as </w:t>
      </w:r>
      <w:r w:rsidR="00FD5771">
        <w:rPr>
          <w:color w:val="auto"/>
        </w:rPr>
        <w:t xml:space="preserve">certified </w:t>
      </w:r>
      <w:r w:rsidRPr="00306CBA">
        <w:rPr>
          <w:color w:val="auto"/>
        </w:rPr>
        <w:t>seeds, f</w:t>
      </w:r>
      <w:r w:rsidR="00FD5771">
        <w:rPr>
          <w:color w:val="auto"/>
        </w:rPr>
        <w:t>ertilizer and agrochemicals are limited</w:t>
      </w:r>
      <w:r w:rsidR="00584D18">
        <w:rPr>
          <w:color w:val="auto"/>
        </w:rPr>
        <w:t>,</w:t>
      </w:r>
      <w:r w:rsidR="00FD5771">
        <w:rPr>
          <w:color w:val="auto"/>
        </w:rPr>
        <w:t xml:space="preserve"> posing</w:t>
      </w:r>
      <w:r w:rsidRPr="00306CBA">
        <w:rPr>
          <w:color w:val="auto"/>
        </w:rPr>
        <w:t xml:space="preserve"> major challenge</w:t>
      </w:r>
      <w:r w:rsidR="00FD5771">
        <w:rPr>
          <w:color w:val="auto"/>
        </w:rPr>
        <w:t>s</w:t>
      </w:r>
      <w:r w:rsidRPr="00306CBA">
        <w:rPr>
          <w:color w:val="auto"/>
        </w:rPr>
        <w:t xml:space="preserve"> to </w:t>
      </w:r>
      <w:r w:rsidR="00FD5771">
        <w:rPr>
          <w:color w:val="auto"/>
        </w:rPr>
        <w:t xml:space="preserve">mitigating aflatoxin contamination, in addition to </w:t>
      </w:r>
      <w:r w:rsidRPr="00306CBA">
        <w:rPr>
          <w:color w:val="auto"/>
        </w:rPr>
        <w:t xml:space="preserve">increasing production and productivity. </w:t>
      </w:r>
      <w:r w:rsidR="00686974">
        <w:rPr>
          <w:color w:val="auto"/>
        </w:rPr>
        <w:t>Furthermore</w:t>
      </w:r>
      <w:r w:rsidRPr="00306CBA">
        <w:rPr>
          <w:color w:val="auto"/>
        </w:rPr>
        <w:t>, there is limited access to implements for land preparation delaying farm operations. Less than 5% of groundnut, maize and rice fa</w:t>
      </w:r>
      <w:r w:rsidR="00686974">
        <w:rPr>
          <w:color w:val="auto"/>
        </w:rPr>
        <w:t>rmers that attended the FGD use</w:t>
      </w:r>
      <w:r w:rsidRPr="00306CBA">
        <w:rPr>
          <w:color w:val="auto"/>
        </w:rPr>
        <w:t xml:space="preserve"> improved seeds, fertilizer and pesticides. </w:t>
      </w:r>
      <w:r>
        <w:rPr>
          <w:color w:val="auto"/>
        </w:rPr>
        <w:t>According to the 2011/2012 Agricultural Survey, 19% of hous</w:t>
      </w:r>
      <w:r w:rsidR="00686974">
        <w:rPr>
          <w:color w:val="auto"/>
        </w:rPr>
        <w:t>eholds use manure while 33% use</w:t>
      </w:r>
      <w:r>
        <w:rPr>
          <w:color w:val="auto"/>
        </w:rPr>
        <w:t xml:space="preserve"> chemical fertilizers and 48% reported not being able to afford fertilizers due to </w:t>
      </w:r>
      <w:r w:rsidR="00686974">
        <w:rPr>
          <w:color w:val="auto"/>
        </w:rPr>
        <w:t>high costs. Use of herbicides wa</w:t>
      </w:r>
      <w:r>
        <w:rPr>
          <w:color w:val="auto"/>
        </w:rPr>
        <w:t xml:space="preserve">s also reported to be low (11%) because of high cost. </w:t>
      </w:r>
      <w:r w:rsidRPr="00306CBA">
        <w:rPr>
          <w:color w:val="auto"/>
        </w:rPr>
        <w:t xml:space="preserve">Almost all the female farmers indicated that they have limited access to farm implements </w:t>
      </w:r>
      <w:r w:rsidRPr="00306CBA">
        <w:t xml:space="preserve">for land preparation delaying farm operations. </w:t>
      </w:r>
    </w:p>
    <w:p w14:paraId="1DDEC336" w14:textId="3E8F5584" w:rsidR="00E61D71" w:rsidRPr="00306CBA" w:rsidRDefault="00E61D71" w:rsidP="00E61D71">
      <w:pPr>
        <w:spacing w:line="360" w:lineRule="auto"/>
        <w:jc w:val="both"/>
        <w:rPr>
          <w:color w:val="auto"/>
        </w:rPr>
      </w:pPr>
      <w:r w:rsidRPr="00306CBA">
        <w:rPr>
          <w:color w:val="auto"/>
        </w:rPr>
        <w:t xml:space="preserve">Extension advice on agronomic practices from the extension services are basically geared towards increasing yields; extension messages do not address aflatoxins. </w:t>
      </w:r>
      <w:r w:rsidR="00686974">
        <w:rPr>
          <w:color w:val="auto"/>
        </w:rPr>
        <w:t>F</w:t>
      </w:r>
      <w:r w:rsidRPr="00306CBA">
        <w:rPr>
          <w:color w:val="auto"/>
        </w:rPr>
        <w:t>armers reported limited contact with extension agents; the extension: farmer ratio is about 1: to over 3,500 (ANR Policy, 2009-20</w:t>
      </w:r>
      <w:r>
        <w:rPr>
          <w:color w:val="auto"/>
        </w:rPr>
        <w:t>1</w:t>
      </w:r>
      <w:r w:rsidRPr="00306CBA">
        <w:rPr>
          <w:color w:val="auto"/>
        </w:rPr>
        <w:t>5). The extension services are not equipped with essential working tools such as mobility or well-planned extension messages, skills and knowledge to transfer appropriate technologies or provide much needed advice and information to producers in the investment and management of their enterprises (ANR Policy, 2009-20</w:t>
      </w:r>
      <w:r>
        <w:rPr>
          <w:color w:val="auto"/>
        </w:rPr>
        <w:t>1</w:t>
      </w:r>
      <w:r w:rsidRPr="00306CBA">
        <w:rPr>
          <w:color w:val="auto"/>
        </w:rPr>
        <w:t>5).</w:t>
      </w:r>
    </w:p>
    <w:p w14:paraId="05F3BEA5" w14:textId="77F9E39B" w:rsidR="00E61D71" w:rsidRPr="00306CBA" w:rsidRDefault="00E61D71" w:rsidP="00E61D71">
      <w:pPr>
        <w:spacing w:after="157" w:line="360" w:lineRule="auto"/>
        <w:ind w:left="0" w:firstLine="0"/>
        <w:jc w:val="both"/>
        <w:rPr>
          <w:color w:val="auto"/>
        </w:rPr>
      </w:pPr>
      <w:r w:rsidRPr="00306CBA">
        <w:t xml:space="preserve">Good Agricultural Practices to reduce </w:t>
      </w:r>
      <w:r w:rsidRPr="00306CBA">
        <w:rPr>
          <w:i/>
        </w:rPr>
        <w:t>Aspergillus</w:t>
      </w:r>
      <w:r w:rsidRPr="00306CBA">
        <w:t xml:space="preserve"> infestation in the field are being promoted in The Gambia</w:t>
      </w:r>
      <w:r>
        <w:t xml:space="preserve"> through </w:t>
      </w:r>
      <w:r w:rsidR="00584D18">
        <w:t xml:space="preserve">Farmer Field Schools (FFS) </w:t>
      </w:r>
      <w:r>
        <w:t>and use of biological control methods</w:t>
      </w:r>
      <w:r w:rsidRPr="00306CBA">
        <w:t xml:space="preserve">. Thirty </w:t>
      </w:r>
      <w:r w:rsidR="00D03D8E">
        <w:t>FFS for groundnuts were</w:t>
      </w:r>
      <w:r w:rsidRPr="00306CBA">
        <w:t xml:space="preserve"> established by </w:t>
      </w:r>
      <w:r w:rsidRPr="00482385">
        <w:rPr>
          <w:color w:val="auto"/>
        </w:rPr>
        <w:t>A</w:t>
      </w:r>
      <w:r w:rsidR="00D03D8E">
        <w:rPr>
          <w:color w:val="auto"/>
        </w:rPr>
        <w:t>gri-</w:t>
      </w:r>
      <w:r w:rsidR="00962C7C">
        <w:rPr>
          <w:color w:val="auto"/>
        </w:rPr>
        <w:t>business</w:t>
      </w:r>
      <w:r w:rsidR="00D03D8E">
        <w:rPr>
          <w:color w:val="auto"/>
        </w:rPr>
        <w:t xml:space="preserve"> Services and </w:t>
      </w:r>
      <w:r w:rsidRPr="00482385">
        <w:rPr>
          <w:color w:val="auto"/>
        </w:rPr>
        <w:t>Producer</w:t>
      </w:r>
      <w:r w:rsidR="00D03D8E">
        <w:rPr>
          <w:color w:val="auto"/>
        </w:rPr>
        <w:t>s Association</w:t>
      </w:r>
      <w:r w:rsidRPr="00482385">
        <w:rPr>
          <w:color w:val="auto"/>
        </w:rPr>
        <w:t xml:space="preserve"> (ASPA) with support </w:t>
      </w:r>
      <w:r w:rsidRPr="00482385">
        <w:rPr>
          <w:color w:val="auto"/>
        </w:rPr>
        <w:lastRenderedPageBreak/>
        <w:t>from the Sector Competitiveness</w:t>
      </w:r>
      <w:r w:rsidR="00D85F51">
        <w:t xml:space="preserve"> and Export Diversification P</w:t>
      </w:r>
      <w:r w:rsidRPr="00306CBA">
        <w:t xml:space="preserve">roject of the </w:t>
      </w:r>
      <w:r w:rsidR="00D03D8E" w:rsidRPr="00D03D8E">
        <w:rPr>
          <w:color w:val="auto"/>
        </w:rPr>
        <w:t>E</w:t>
      </w:r>
      <w:r w:rsidR="00D03D8E">
        <w:t xml:space="preserve">nhanced Integrated Framework </w:t>
      </w:r>
      <w:r w:rsidRPr="00306CBA">
        <w:t xml:space="preserve">to mitigate aflatoxin contamination.  </w:t>
      </w:r>
      <w:r>
        <w:t xml:space="preserve">A biological control method whereby non-aflatoxigenic strains (Aflasafe SN01®) of </w:t>
      </w:r>
      <w:r w:rsidRPr="0094607A">
        <w:rPr>
          <w:i/>
        </w:rPr>
        <w:t>Aspergillus</w:t>
      </w:r>
      <w:r>
        <w:t xml:space="preserve"> are sprayed on fields to compete with those strains producing aflatoxins is on trial </w:t>
      </w:r>
      <w:r w:rsidRPr="00306CBA">
        <w:rPr>
          <w:color w:val="auto"/>
        </w:rPr>
        <w:t>in The Gambia.</w:t>
      </w:r>
    </w:p>
    <w:p w14:paraId="72E5731D" w14:textId="6109E93A" w:rsidR="00E61D71" w:rsidRDefault="00AB7996" w:rsidP="00A72DFD">
      <w:pPr>
        <w:pStyle w:val="Heading3"/>
        <w:spacing w:line="480" w:lineRule="auto"/>
        <w:jc w:val="both"/>
      </w:pPr>
      <w:bookmarkStart w:id="19" w:name="_Toc427672756"/>
      <w:r>
        <w:t>6.4</w:t>
      </w:r>
      <w:r w:rsidR="00DA5F13" w:rsidRPr="00573E53">
        <w:t xml:space="preserve">.2 </w:t>
      </w:r>
      <w:r w:rsidR="00E61D71" w:rsidRPr="00573E53">
        <w:t>Risk of contamination at harvest</w:t>
      </w:r>
      <w:r w:rsidR="00B34FF6">
        <w:t xml:space="preserve"> and post-harvest</w:t>
      </w:r>
      <w:bookmarkEnd w:id="19"/>
    </w:p>
    <w:p w14:paraId="32FBB110" w14:textId="77777777" w:rsidR="009169EF" w:rsidRDefault="009169EF" w:rsidP="009169EF">
      <w:pPr>
        <w:spacing w:after="157" w:line="360" w:lineRule="auto"/>
        <w:ind w:left="0" w:firstLine="0"/>
        <w:jc w:val="both"/>
        <w:rPr>
          <w:color w:val="auto"/>
        </w:rPr>
      </w:pPr>
      <w:r w:rsidRPr="00306CBA">
        <w:rPr>
          <w:color w:val="auto"/>
        </w:rPr>
        <w:t>Groundnut farmers experience late harvesting as a result of unavailability and affordability of labour or appropriate technology</w:t>
      </w:r>
      <w:r>
        <w:rPr>
          <w:color w:val="auto"/>
        </w:rPr>
        <w:t>,</w:t>
      </w:r>
      <w:r w:rsidRPr="00306CBA">
        <w:rPr>
          <w:color w:val="auto"/>
        </w:rPr>
        <w:t xml:space="preserve"> mainly draught animal and implements.</w:t>
      </w:r>
      <w:r>
        <w:rPr>
          <w:color w:val="auto"/>
        </w:rPr>
        <w:t xml:space="preserve"> Male and female g</w:t>
      </w:r>
      <w:r w:rsidRPr="00306CBA">
        <w:rPr>
          <w:color w:val="auto"/>
        </w:rPr>
        <w:t>roundnut</w:t>
      </w:r>
      <w:r>
        <w:rPr>
          <w:color w:val="auto"/>
        </w:rPr>
        <w:t xml:space="preserve"> farmers </w:t>
      </w:r>
      <w:r w:rsidRPr="00306CBA">
        <w:rPr>
          <w:color w:val="auto"/>
        </w:rPr>
        <w:t>reported lifting groundnut from the soil with animal–drawn lifters</w:t>
      </w:r>
      <w:r>
        <w:rPr>
          <w:color w:val="auto"/>
        </w:rPr>
        <w:t xml:space="preserve"> or the traditional hoe</w:t>
      </w:r>
      <w:r w:rsidRPr="00306CBA">
        <w:rPr>
          <w:color w:val="auto"/>
        </w:rPr>
        <w:t>. The lifter cuts off the roots below the crops and loosens the soil. The inappropriate use of groundnut lifting tools could lead to the bruising of the nuts making them more susceptible to fungal infection. The harvested plants are left on the ground with the nuts facing upwards for</w:t>
      </w:r>
      <w:r w:rsidRPr="00306CBA">
        <w:rPr>
          <w:color w:val="FF0000"/>
        </w:rPr>
        <w:t xml:space="preserve"> </w:t>
      </w:r>
      <w:r w:rsidRPr="00C920FF">
        <w:rPr>
          <w:color w:val="auto"/>
        </w:rPr>
        <w:t>about 5 to 7 days.</w:t>
      </w:r>
      <w:r w:rsidRPr="00306CBA">
        <w:rPr>
          <w:color w:val="FF0000"/>
        </w:rPr>
        <w:t xml:space="preserve"> </w:t>
      </w:r>
      <w:r w:rsidRPr="00306CBA">
        <w:rPr>
          <w:color w:val="auto"/>
        </w:rPr>
        <w:t xml:space="preserve">The partially dry </w:t>
      </w:r>
      <w:r>
        <w:rPr>
          <w:color w:val="auto"/>
        </w:rPr>
        <w:t>plants</w:t>
      </w:r>
      <w:r w:rsidRPr="00306CBA">
        <w:rPr>
          <w:color w:val="auto"/>
        </w:rPr>
        <w:t xml:space="preserve"> are then piled </w:t>
      </w:r>
      <w:r>
        <w:rPr>
          <w:color w:val="auto"/>
        </w:rPr>
        <w:t xml:space="preserve">on the ground </w:t>
      </w:r>
      <w:r w:rsidRPr="00306CBA">
        <w:rPr>
          <w:color w:val="auto"/>
        </w:rPr>
        <w:t xml:space="preserve">into large heaps resulting in poor air circulation in tandem with the increased moisture and high temperature within the heap thus increasing the nuts’ susceptibility to aflatoxin contamination. The partially dry </w:t>
      </w:r>
      <w:r>
        <w:rPr>
          <w:color w:val="auto"/>
        </w:rPr>
        <w:t xml:space="preserve">plants are </w:t>
      </w:r>
      <w:r w:rsidRPr="00306CBA">
        <w:rPr>
          <w:color w:val="auto"/>
        </w:rPr>
        <w:t>manually</w:t>
      </w:r>
      <w:r>
        <w:rPr>
          <w:color w:val="auto"/>
        </w:rPr>
        <w:t xml:space="preserve"> threshed 2 to 3 weeks after stacking</w:t>
      </w:r>
      <w:r w:rsidRPr="00306CBA">
        <w:rPr>
          <w:color w:val="auto"/>
        </w:rPr>
        <w:t xml:space="preserve"> using sticks which could lead to damaging the nuts, and bagging in polypropylene bags instead of jute bags. The recommended practices are to arra</w:t>
      </w:r>
      <w:r w:rsidRPr="006557EE">
        <w:rPr>
          <w:color w:val="auto"/>
        </w:rPr>
        <w:t>nge harvested groundnuts in windrows with the pods facing upwards towards the sun for about 14 days</w:t>
      </w:r>
      <w:r w:rsidRPr="00C920FF">
        <w:rPr>
          <w:color w:val="FF0000"/>
        </w:rPr>
        <w:t xml:space="preserve"> </w:t>
      </w:r>
      <w:r w:rsidRPr="00306CBA">
        <w:rPr>
          <w:color w:val="auto"/>
        </w:rPr>
        <w:t>and latter stack</w:t>
      </w:r>
      <w:r>
        <w:rPr>
          <w:color w:val="auto"/>
        </w:rPr>
        <w:t>ed</w:t>
      </w:r>
      <w:r w:rsidRPr="00306CBA">
        <w:rPr>
          <w:color w:val="auto"/>
        </w:rPr>
        <w:t xml:space="preserve"> on </w:t>
      </w:r>
      <w:r>
        <w:rPr>
          <w:color w:val="auto"/>
        </w:rPr>
        <w:t xml:space="preserve">a </w:t>
      </w:r>
      <w:r w:rsidRPr="00306CBA">
        <w:rPr>
          <w:color w:val="auto"/>
        </w:rPr>
        <w:t>raised platform and allow</w:t>
      </w:r>
      <w:r>
        <w:rPr>
          <w:color w:val="auto"/>
        </w:rPr>
        <w:t>ed</w:t>
      </w:r>
      <w:r w:rsidRPr="00306CBA">
        <w:rPr>
          <w:color w:val="auto"/>
        </w:rPr>
        <w:t xml:space="preserve"> to dry to less than 1</w:t>
      </w:r>
      <w:r>
        <w:rPr>
          <w:color w:val="auto"/>
        </w:rPr>
        <w:t>2</w:t>
      </w:r>
      <w:r w:rsidRPr="00306CBA">
        <w:rPr>
          <w:color w:val="auto"/>
        </w:rPr>
        <w:t xml:space="preserve">% moisture level before </w:t>
      </w:r>
      <w:r>
        <w:rPr>
          <w:color w:val="auto"/>
        </w:rPr>
        <w:t>threshing</w:t>
      </w:r>
      <w:r w:rsidRPr="00306CBA">
        <w:rPr>
          <w:color w:val="auto"/>
        </w:rPr>
        <w:t>.</w:t>
      </w:r>
      <w:r w:rsidRPr="00A043DB">
        <w:rPr>
          <w:color w:val="auto"/>
        </w:rPr>
        <w:t xml:space="preserve"> </w:t>
      </w:r>
      <w:r w:rsidRPr="00306CBA">
        <w:rPr>
          <w:color w:val="auto"/>
        </w:rPr>
        <w:t>After threshing</w:t>
      </w:r>
      <w:r>
        <w:rPr>
          <w:color w:val="auto"/>
        </w:rPr>
        <w:t>, additional drying should be done ideally on a concrete floor if the moisture content is over 10%. T</w:t>
      </w:r>
      <w:r w:rsidRPr="00306CBA">
        <w:rPr>
          <w:color w:val="auto"/>
        </w:rPr>
        <w:t>he groundnuts should be sorted and all discoloured, shrivelled, and mouldy nuts should be removed before bagging and evacuation to the homestead. Because of on-farm buying by itinerant groundnut traders, there is no incentive for farmers to sort at farm level.</w:t>
      </w:r>
      <w:r>
        <w:rPr>
          <w:color w:val="auto"/>
        </w:rPr>
        <w:t xml:space="preserve"> </w:t>
      </w:r>
    </w:p>
    <w:p w14:paraId="7CC48109" w14:textId="77777777" w:rsidR="009169EF" w:rsidRPr="00306CBA" w:rsidRDefault="009169EF" w:rsidP="009169EF">
      <w:pPr>
        <w:spacing w:line="360" w:lineRule="auto"/>
        <w:jc w:val="both"/>
      </w:pPr>
      <w:r w:rsidRPr="00306CBA">
        <w:rPr>
          <w:color w:val="auto"/>
        </w:rPr>
        <w:t>Maize farmers reported incidents of their crops left in the fields being contaminated as a result of unseasonal rain.</w:t>
      </w:r>
      <w:r>
        <w:rPr>
          <w:color w:val="auto"/>
        </w:rPr>
        <w:t xml:space="preserve"> </w:t>
      </w:r>
      <w:r w:rsidRPr="00306CBA">
        <w:rPr>
          <w:color w:val="auto"/>
        </w:rPr>
        <w:t>Maize farmers leave the</w:t>
      </w:r>
      <w:r>
        <w:rPr>
          <w:color w:val="auto"/>
        </w:rPr>
        <w:t xml:space="preserve"> mature</w:t>
      </w:r>
      <w:r w:rsidRPr="00306CBA">
        <w:rPr>
          <w:color w:val="auto"/>
        </w:rPr>
        <w:t xml:space="preserve"> plants to dry in the field</w:t>
      </w:r>
      <w:r>
        <w:rPr>
          <w:color w:val="auto"/>
        </w:rPr>
        <w:t xml:space="preserve"> for about 14 days</w:t>
      </w:r>
      <w:r w:rsidRPr="00306CBA">
        <w:rPr>
          <w:color w:val="auto"/>
        </w:rPr>
        <w:t xml:space="preserve"> before harvesting. Harvest</w:t>
      </w:r>
      <w:r>
        <w:rPr>
          <w:color w:val="auto"/>
        </w:rPr>
        <w:t>ing</w:t>
      </w:r>
      <w:r w:rsidRPr="00306CBA">
        <w:rPr>
          <w:color w:val="auto"/>
        </w:rPr>
        <w:t xml:space="preserve"> is done by </w:t>
      </w:r>
      <w:r>
        <w:rPr>
          <w:color w:val="auto"/>
        </w:rPr>
        <w:t>plucking the cobs from the dry plants.</w:t>
      </w:r>
      <w:r w:rsidRPr="00306CBA">
        <w:rPr>
          <w:color w:val="auto"/>
        </w:rPr>
        <w:t xml:space="preserve"> The harvested maize cobs are further dried in the homestead either on a pla</w:t>
      </w:r>
      <w:r w:rsidRPr="00306CBA">
        <w:t>tform (thus preventing conta</w:t>
      </w:r>
      <w:r w:rsidRPr="008B7894">
        <w:rPr>
          <w:color w:val="auto"/>
        </w:rPr>
        <w:t>ct with the soil) in the open air or inside a room before shelling; drying time could last for up</w:t>
      </w:r>
      <w:r>
        <w:rPr>
          <w:color w:val="auto"/>
        </w:rPr>
        <w:t xml:space="preserve"> </w:t>
      </w:r>
      <w:r w:rsidRPr="008B7894">
        <w:rPr>
          <w:color w:val="auto"/>
        </w:rPr>
        <w:t>to 30 days</w:t>
      </w:r>
      <w:r w:rsidRPr="00306CBA">
        <w:t>.  Drying harvested maize</w:t>
      </w:r>
      <w:r>
        <w:t xml:space="preserve"> in the cob</w:t>
      </w:r>
      <w:r w:rsidRPr="00306CBA">
        <w:t xml:space="preserve"> to 15.5% moisture content or lower within 24 to 48 hours will reduce the risk of fungus growth and consequent aflatoxin production (Hamilton, 2000). Shelling of small quantities </w:t>
      </w:r>
      <w:r>
        <w:t xml:space="preserve">of maize </w:t>
      </w:r>
      <w:r w:rsidRPr="00306CBA">
        <w:t>used for home consumption is done using mortar and pestle while for larger quantities, they are put in bags and beaten with sticks.  This practice may result in</w:t>
      </w:r>
      <w:r>
        <w:t xml:space="preserve"> </w:t>
      </w:r>
      <w:r w:rsidRPr="00306CBA">
        <w:t xml:space="preserve">broken grains that increase the chances of the fungi penetrating the maize grains. No improved shelling methods were reported to be in use. The shelled maize is sorted and mould infested grains are removed by hand picking. </w:t>
      </w:r>
    </w:p>
    <w:p w14:paraId="128EDBC0" w14:textId="77777777" w:rsidR="009169EF" w:rsidRDefault="009169EF" w:rsidP="009169EF">
      <w:pPr>
        <w:spacing w:line="360" w:lineRule="auto"/>
        <w:ind w:left="-6" w:hanging="11"/>
        <w:jc w:val="both"/>
      </w:pPr>
      <w:r w:rsidRPr="00306CBA">
        <w:lastRenderedPageBreak/>
        <w:t xml:space="preserve">Rice harvesting is done by hand using either a knife or sickle with the knife being more prevalent, especially with the women. The paddy rice harvested by sickle is left to dry in the field for </w:t>
      </w:r>
      <w:r>
        <w:t>6 to 7 days and the knife harvested for 3 to 5 days and subsequently taken</w:t>
      </w:r>
      <w:r w:rsidRPr="00306CBA">
        <w:t xml:space="preserve"> to the homestead for </w:t>
      </w:r>
      <w:r>
        <w:t xml:space="preserve">storage. </w:t>
      </w:r>
      <w:r w:rsidRPr="00306CBA">
        <w:t xml:space="preserve">Some farmers reported incidents of </w:t>
      </w:r>
      <w:r>
        <w:t xml:space="preserve">contamination with sickle harvested </w:t>
      </w:r>
      <w:r w:rsidRPr="00306CBA">
        <w:t>crop</w:t>
      </w:r>
      <w:r>
        <w:t>s</w:t>
      </w:r>
      <w:r w:rsidRPr="00306CBA">
        <w:t xml:space="preserve"> left in the fields as a result of unse</w:t>
      </w:r>
      <w:r>
        <w:t xml:space="preserve">asonal rain.  Threshing is usually done </w:t>
      </w:r>
      <w:r w:rsidRPr="00306CBA">
        <w:t xml:space="preserve">by beating the bundle of rice stalks on empty barrels placed on bags spread on the ground. </w:t>
      </w:r>
      <w:r>
        <w:t xml:space="preserve">Threshed paddy is dried on drying floors, recycled bags, tarpaulin, or on corrugated iron sheets.   Farmers </w:t>
      </w:r>
      <w:r w:rsidRPr="00306CBA">
        <w:t>are generally aware of the need to thoroughly dry the crop before threshing and storage</w:t>
      </w:r>
      <w:r w:rsidRPr="00306CBA">
        <w:rPr>
          <w:rFonts w:eastAsia="Arial"/>
          <w:b/>
        </w:rPr>
        <w:t>.</w:t>
      </w:r>
    </w:p>
    <w:p w14:paraId="7BA5BD0C" w14:textId="6DD6B5ED" w:rsidR="00E61D71" w:rsidRPr="0085234D" w:rsidRDefault="00AB7996" w:rsidP="00A72DFD">
      <w:pPr>
        <w:pStyle w:val="Heading3"/>
        <w:spacing w:line="480" w:lineRule="auto"/>
        <w:jc w:val="both"/>
      </w:pPr>
      <w:bookmarkStart w:id="20" w:name="_Toc427672757"/>
      <w:r>
        <w:t>6.4.3</w:t>
      </w:r>
      <w:r w:rsidR="00DA5F13" w:rsidRPr="0085234D">
        <w:t xml:space="preserve"> </w:t>
      </w:r>
      <w:r w:rsidR="00E61D71" w:rsidRPr="0085234D">
        <w:t>Risk of contamination in storage</w:t>
      </w:r>
      <w:bookmarkEnd w:id="20"/>
    </w:p>
    <w:p w14:paraId="20525D83" w14:textId="434EFA56" w:rsidR="00E61D71" w:rsidRPr="0044652E" w:rsidRDefault="00E61D71" w:rsidP="00E61D71">
      <w:pPr>
        <w:spacing w:after="157" w:line="360" w:lineRule="auto"/>
        <w:ind w:left="0" w:firstLine="0"/>
        <w:jc w:val="both"/>
        <w:rPr>
          <w:color w:val="auto"/>
        </w:rPr>
      </w:pPr>
      <w:r w:rsidRPr="0044652E">
        <w:rPr>
          <w:color w:val="auto"/>
        </w:rPr>
        <w:t>The decorticated groundnuts, shell</w:t>
      </w:r>
      <w:r>
        <w:rPr>
          <w:color w:val="auto"/>
        </w:rPr>
        <w:t>ed</w:t>
      </w:r>
      <w:r w:rsidRPr="0044652E">
        <w:rPr>
          <w:color w:val="auto"/>
        </w:rPr>
        <w:t xml:space="preserve"> maize and milled rice kept for seeds are stored </w:t>
      </w:r>
      <w:r>
        <w:rPr>
          <w:color w:val="auto"/>
        </w:rPr>
        <w:t>in recycled 200 litre vegetable oil</w:t>
      </w:r>
      <w:r w:rsidRPr="0044652E">
        <w:rPr>
          <w:color w:val="auto"/>
        </w:rPr>
        <w:t xml:space="preserve"> drums or 20 </w:t>
      </w:r>
      <w:r>
        <w:rPr>
          <w:color w:val="auto"/>
        </w:rPr>
        <w:t>litre</w:t>
      </w:r>
      <w:r w:rsidRPr="0044652E">
        <w:rPr>
          <w:color w:val="auto"/>
        </w:rPr>
        <w:t xml:space="preserve"> plastic containers. According to the farmers, there </w:t>
      </w:r>
      <w:r>
        <w:rPr>
          <w:color w:val="auto"/>
        </w:rPr>
        <w:t>is</w:t>
      </w:r>
      <w:r w:rsidRPr="0044652E">
        <w:rPr>
          <w:color w:val="auto"/>
        </w:rPr>
        <w:t xml:space="preserve"> no quality deterioration of the seeds stored in this manner. Farmers are aware of the merits of treating the stored seeds with </w:t>
      </w:r>
      <w:r>
        <w:rPr>
          <w:color w:val="auto"/>
        </w:rPr>
        <w:t>fumigants</w:t>
      </w:r>
      <w:r w:rsidRPr="0044652E">
        <w:rPr>
          <w:color w:val="auto"/>
        </w:rPr>
        <w:t xml:space="preserve"> such as phostoxin but these products are not readily available in the rural areas, as such farmers resort to buying unregistered chemicals at the weekly markets (</w:t>
      </w:r>
      <w:r w:rsidR="00EC52CB">
        <w:rPr>
          <w:color w:val="auto"/>
        </w:rPr>
        <w:t>loumo</w:t>
      </w:r>
      <w:r w:rsidRPr="0044652E">
        <w:rPr>
          <w:color w:val="auto"/>
        </w:rPr>
        <w:t>s) in The Gambia and Senegal. Fumigation in storage has been shown to significantly reduce the incidence of fungi. Shelled maize and paddy rice are put in</w:t>
      </w:r>
      <w:r w:rsidR="00ED2E50">
        <w:rPr>
          <w:color w:val="auto"/>
        </w:rPr>
        <w:t xml:space="preserve"> </w:t>
      </w:r>
      <w:r w:rsidR="00ED2E50" w:rsidRPr="00306CBA">
        <w:rPr>
          <w:color w:val="auto"/>
        </w:rPr>
        <w:t>polypropylene</w:t>
      </w:r>
      <w:r w:rsidRPr="0044652E">
        <w:rPr>
          <w:color w:val="auto"/>
        </w:rPr>
        <w:t xml:space="preserve"> flour bags for marketing and household consumption. </w:t>
      </w:r>
    </w:p>
    <w:p w14:paraId="12DA30A7" w14:textId="6D6EF8DC" w:rsidR="00E61D71" w:rsidRPr="00306CBA" w:rsidRDefault="00E61D71" w:rsidP="00E61D71">
      <w:pPr>
        <w:spacing w:after="157" w:line="360" w:lineRule="auto"/>
        <w:ind w:left="0" w:firstLine="0"/>
        <w:jc w:val="both"/>
      </w:pPr>
      <w:r w:rsidRPr="00306CBA">
        <w:t xml:space="preserve">The </w:t>
      </w:r>
      <w:r>
        <w:t xml:space="preserve">harvested </w:t>
      </w:r>
      <w:r w:rsidRPr="00306CBA">
        <w:t xml:space="preserve">crops are stored inside the producers’ houses or specially built structures. </w:t>
      </w:r>
      <w:r w:rsidR="00227BA3">
        <w:t>Over 80</w:t>
      </w:r>
      <w:r w:rsidRPr="00227BA3">
        <w:rPr>
          <w:color w:val="auto"/>
        </w:rPr>
        <w:t>% groundnut farmers reported storing their crops for seed and consumption inside houses. The seeds f</w:t>
      </w:r>
      <w:r>
        <w:t xml:space="preserve">or planting are kept in </w:t>
      </w:r>
      <w:r w:rsidRPr="00306CBA">
        <w:t>the drums or plastic containers</w:t>
      </w:r>
      <w:r>
        <w:t>.</w:t>
      </w:r>
      <w:r w:rsidRPr="00306CBA">
        <w:t xml:space="preserve"> Maize farmers reported placing </w:t>
      </w:r>
      <w:r w:rsidRPr="00306CBA">
        <w:rPr>
          <w:color w:val="auto"/>
        </w:rPr>
        <w:t>the bags on corrugated iron sheets placed on the ground inside their houses, or on platform</w:t>
      </w:r>
      <w:r>
        <w:rPr>
          <w:color w:val="auto"/>
        </w:rPr>
        <w:t>s</w:t>
      </w:r>
      <w:r w:rsidRPr="00306CBA">
        <w:rPr>
          <w:color w:val="auto"/>
        </w:rPr>
        <w:t xml:space="preserve"> erected within their compounds. </w:t>
      </w:r>
      <w:r>
        <w:rPr>
          <w:color w:val="auto"/>
        </w:rPr>
        <w:t xml:space="preserve">Threshed </w:t>
      </w:r>
      <w:r w:rsidRPr="00306CBA">
        <w:rPr>
          <w:color w:val="auto"/>
        </w:rPr>
        <w:t xml:space="preserve">paddy is </w:t>
      </w:r>
      <w:r>
        <w:rPr>
          <w:color w:val="auto"/>
        </w:rPr>
        <w:t xml:space="preserve">put in bags and </w:t>
      </w:r>
      <w:r w:rsidRPr="00306CBA">
        <w:rPr>
          <w:color w:val="auto"/>
        </w:rPr>
        <w:t xml:space="preserve">stored on corrugated sheets </w:t>
      </w:r>
      <w:r>
        <w:rPr>
          <w:color w:val="auto"/>
        </w:rPr>
        <w:t xml:space="preserve">placed on the floor or on platforms </w:t>
      </w:r>
      <w:r w:rsidRPr="00306CBA">
        <w:rPr>
          <w:color w:val="auto"/>
        </w:rPr>
        <w:t xml:space="preserve">in </w:t>
      </w:r>
      <w:r>
        <w:rPr>
          <w:color w:val="auto"/>
        </w:rPr>
        <w:t>their</w:t>
      </w:r>
      <w:r w:rsidRPr="00306CBA">
        <w:rPr>
          <w:color w:val="auto"/>
        </w:rPr>
        <w:t xml:space="preserve"> houses</w:t>
      </w:r>
      <w:r>
        <w:rPr>
          <w:color w:val="auto"/>
        </w:rPr>
        <w:t>.</w:t>
      </w:r>
      <w:r w:rsidRPr="00306CBA">
        <w:rPr>
          <w:color w:val="auto"/>
        </w:rPr>
        <w:t xml:space="preserve"> </w:t>
      </w:r>
      <w:r>
        <w:rPr>
          <w:color w:val="auto"/>
        </w:rPr>
        <w:t xml:space="preserve">Knife harvested paddy is stored in the houses in panicles arranged </w:t>
      </w:r>
      <w:r w:rsidR="00330B32">
        <w:rPr>
          <w:color w:val="auto"/>
        </w:rPr>
        <w:t xml:space="preserve">in such a way as </w:t>
      </w:r>
      <w:r>
        <w:rPr>
          <w:color w:val="auto"/>
        </w:rPr>
        <w:t xml:space="preserve">to allow aeration. </w:t>
      </w:r>
      <w:r w:rsidRPr="00306CBA">
        <w:rPr>
          <w:color w:val="auto"/>
        </w:rPr>
        <w:t xml:space="preserve">The storage </w:t>
      </w:r>
      <w:r>
        <w:rPr>
          <w:color w:val="auto"/>
        </w:rPr>
        <w:t>structures</w:t>
      </w:r>
      <w:r w:rsidRPr="00306CBA">
        <w:rPr>
          <w:color w:val="auto"/>
        </w:rPr>
        <w:t xml:space="preserve"> generally have limited ventilation</w:t>
      </w:r>
      <w:r>
        <w:rPr>
          <w:color w:val="auto"/>
        </w:rPr>
        <w:t>.</w:t>
      </w:r>
      <w:r w:rsidRPr="00306CBA">
        <w:rPr>
          <w:color w:val="auto"/>
        </w:rPr>
        <w:t xml:space="preserve"> Storage practices at </w:t>
      </w:r>
      <w:r>
        <w:rPr>
          <w:color w:val="auto"/>
        </w:rPr>
        <w:t xml:space="preserve">farm </w:t>
      </w:r>
      <w:r w:rsidRPr="00306CBA">
        <w:rPr>
          <w:color w:val="auto"/>
        </w:rPr>
        <w:t xml:space="preserve">level expose the products to </w:t>
      </w:r>
      <w:r>
        <w:rPr>
          <w:color w:val="auto"/>
        </w:rPr>
        <w:t xml:space="preserve">potential </w:t>
      </w:r>
      <w:r w:rsidRPr="00306CBA">
        <w:rPr>
          <w:color w:val="auto"/>
        </w:rPr>
        <w:t>further aflatoxin contamination. Groundnuts farmers store their crop destined for marketing for 2 to 4 months depending on market conditions.</w:t>
      </w:r>
      <w:r w:rsidRPr="00330B32">
        <w:rPr>
          <w:color w:val="auto"/>
        </w:rPr>
        <w:t xml:space="preserve"> The groundnut, maize and rice for seed and home consumption </w:t>
      </w:r>
      <w:r w:rsidR="00573E53" w:rsidRPr="00330B32">
        <w:rPr>
          <w:color w:val="auto"/>
        </w:rPr>
        <w:t>are</w:t>
      </w:r>
      <w:r w:rsidRPr="00330B32">
        <w:rPr>
          <w:color w:val="auto"/>
        </w:rPr>
        <w:t xml:space="preserve"> stored </w:t>
      </w:r>
      <w:r w:rsidR="00330B32" w:rsidRPr="00330B32">
        <w:rPr>
          <w:color w:val="auto"/>
        </w:rPr>
        <w:t xml:space="preserve">on average </w:t>
      </w:r>
      <w:r w:rsidRPr="00330B32">
        <w:rPr>
          <w:color w:val="auto"/>
        </w:rPr>
        <w:t>for 2 to 6 months.</w:t>
      </w:r>
      <w:r>
        <w:rPr>
          <w:color w:val="FF0000"/>
        </w:rPr>
        <w:t xml:space="preserve"> </w:t>
      </w:r>
      <w:r w:rsidRPr="00306CBA">
        <w:rPr>
          <w:color w:val="auto"/>
        </w:rPr>
        <w:t xml:space="preserve">Farmers reported that despite the availability of communal stores, most of these are not functional. Metal silos also promoted by FAO have not had successful uptake due to unaffordability. </w:t>
      </w:r>
    </w:p>
    <w:p w14:paraId="578923C6" w14:textId="18F8CE02" w:rsidR="00E61D71" w:rsidRDefault="00AB7996" w:rsidP="00A72DFD">
      <w:pPr>
        <w:pStyle w:val="Heading3"/>
        <w:spacing w:line="480" w:lineRule="auto"/>
        <w:jc w:val="both"/>
      </w:pPr>
      <w:bookmarkStart w:id="21" w:name="_Toc427672758"/>
      <w:r>
        <w:t>6.4.4</w:t>
      </w:r>
      <w:r w:rsidR="00DA5F13" w:rsidRPr="0085234D">
        <w:t xml:space="preserve"> </w:t>
      </w:r>
      <w:r w:rsidR="00E61D71" w:rsidRPr="0085234D">
        <w:t>Risk of contamination during processing</w:t>
      </w:r>
      <w:bookmarkEnd w:id="21"/>
    </w:p>
    <w:p w14:paraId="09A212FC" w14:textId="77777777" w:rsidR="002320E3" w:rsidRPr="00306CBA" w:rsidRDefault="002320E3" w:rsidP="002320E3">
      <w:pPr>
        <w:spacing w:after="157" w:line="360" w:lineRule="auto"/>
        <w:ind w:left="0" w:firstLine="0"/>
        <w:jc w:val="both"/>
      </w:pPr>
      <w:r w:rsidRPr="00306CBA">
        <w:t>Processing of groundnuts is done at three levels namely household, local market and industrial levels. At household level, the groundnut in shell are manually decorticated generally by women and children after either sprinkling or dipping them in water</w:t>
      </w:r>
      <w:r>
        <w:t xml:space="preserve"> for </w:t>
      </w:r>
      <w:r w:rsidRPr="003B3563">
        <w:rPr>
          <w:color w:val="auto"/>
        </w:rPr>
        <w:t>about two minutes</w:t>
      </w:r>
      <w:r w:rsidRPr="00306CBA">
        <w:t xml:space="preserve">; according to them this makes the </w:t>
      </w:r>
      <w:r w:rsidRPr="00306CBA">
        <w:lastRenderedPageBreak/>
        <w:t>decortication process easier</w:t>
      </w:r>
      <w:r>
        <w:t xml:space="preserve"> and results in less breakage of the kernels</w:t>
      </w:r>
      <w:r w:rsidRPr="00306CBA">
        <w:t>.</w:t>
      </w:r>
      <w:r w:rsidRPr="00C04E19">
        <w:t xml:space="preserve"> </w:t>
      </w:r>
      <w:r>
        <w:t xml:space="preserve">Groundnut kernels obtained from dipped in-shell groundnuts are dried for a minimum of 2 hours. </w:t>
      </w:r>
      <w:r w:rsidRPr="00306CBA">
        <w:t>The</w:t>
      </w:r>
      <w:r>
        <w:t>se</w:t>
      </w:r>
      <w:r w:rsidRPr="00306CBA">
        <w:t xml:space="preserve"> </w:t>
      </w:r>
      <w:r>
        <w:t xml:space="preserve">decorticated </w:t>
      </w:r>
      <w:r w:rsidRPr="00306CBA">
        <w:t>groundnut</w:t>
      </w:r>
      <w:r>
        <w:t xml:space="preserve"> kernel</w:t>
      </w:r>
      <w:r w:rsidRPr="00306CBA">
        <w:t xml:space="preserve">s, if not properly dried would </w:t>
      </w:r>
      <w:r>
        <w:t>pose increased risk of higher aflatoxin levels in the product</w:t>
      </w:r>
      <w:r w:rsidRPr="00306CBA">
        <w:t xml:space="preserve">. </w:t>
      </w:r>
      <w:r>
        <w:t>T</w:t>
      </w:r>
      <w:r w:rsidRPr="00306CBA">
        <w:t>he groundnut</w:t>
      </w:r>
      <w:r>
        <w:t xml:space="preserve"> kernel</w:t>
      </w:r>
      <w:r w:rsidRPr="00306CBA">
        <w:t>s are sorted into various categories: category 1: seeds for planting (selected based on seed size, shape, non-split); category 2: nuts for direct household consumption and processing into groundnut paste and powder (smaller size nut</w:t>
      </w:r>
      <w:r>
        <w:t>s</w:t>
      </w:r>
      <w:r w:rsidRPr="00306CBA">
        <w:t>, discoloured, splits and shrivels</w:t>
      </w:r>
      <w:r>
        <w:t>)</w:t>
      </w:r>
      <w:r w:rsidRPr="00306CBA">
        <w:t xml:space="preserve">; and category 3: black and mouldy nuts (which are evidently highly contaminated). </w:t>
      </w:r>
    </w:p>
    <w:p w14:paraId="29BEFB54" w14:textId="77777777" w:rsidR="002320E3" w:rsidRDefault="002320E3" w:rsidP="002320E3">
      <w:pPr>
        <w:spacing w:after="157" w:line="360" w:lineRule="auto"/>
        <w:ind w:left="0" w:firstLine="0"/>
        <w:jc w:val="both"/>
      </w:pPr>
      <w:r w:rsidRPr="00306CBA">
        <w:t xml:space="preserve">Processing into </w:t>
      </w:r>
      <w:r>
        <w:t xml:space="preserve">groundnut </w:t>
      </w:r>
      <w:r w:rsidRPr="00306CBA">
        <w:t xml:space="preserve">powder </w:t>
      </w:r>
      <w:r>
        <w:t xml:space="preserve">at the household level </w:t>
      </w:r>
      <w:r w:rsidRPr="00306CBA">
        <w:t xml:space="preserve">is done manually using mortar and pestle or hand operated grinder. </w:t>
      </w:r>
      <w:r>
        <w:t>At the household and market levels, p</w:t>
      </w:r>
      <w:r w:rsidRPr="00306CBA">
        <w:t>rocessing into paste involves roasting, removal of skin, sorting and grinding using the hand operated grinder or mechanized grinders</w:t>
      </w:r>
      <w:r>
        <w:t>.</w:t>
      </w:r>
      <w:r w:rsidRPr="00306CBA">
        <w:t xml:space="preserve"> The nuts used to produce groundnut pow</w:t>
      </w:r>
      <w:r>
        <w:t>der and paste includes defective ones which may be</w:t>
      </w:r>
      <w:r w:rsidRPr="00306CBA">
        <w:t xml:space="preserve"> </w:t>
      </w:r>
      <w:r>
        <w:t>c</w:t>
      </w:r>
      <w:r w:rsidRPr="00306CBA">
        <w:t>ontaminated with aflatoxin.  During our visits to the markets, it was observed that good manufacturing and hygienic practices</w:t>
      </w:r>
      <w:r>
        <w:t xml:space="preserve"> (GMP/GHP)</w:t>
      </w:r>
      <w:r w:rsidRPr="00306CBA">
        <w:t xml:space="preserve"> were not being applied</w:t>
      </w:r>
      <w:r>
        <w:t xml:space="preserve"> and it was reported that t</w:t>
      </w:r>
      <w:r w:rsidRPr="00306CBA">
        <w:t>he operations w</w:t>
      </w:r>
      <w:r>
        <w:t>ere not being regulated by the C</w:t>
      </w:r>
      <w:r w:rsidRPr="00306CBA">
        <w:t xml:space="preserve">ompetent </w:t>
      </w:r>
      <w:r>
        <w:t>A</w:t>
      </w:r>
      <w:r w:rsidRPr="00306CBA">
        <w:t xml:space="preserve">uthority.    </w:t>
      </w:r>
    </w:p>
    <w:p w14:paraId="1EBC9EAF" w14:textId="77777777" w:rsidR="002320E3" w:rsidRPr="00807804" w:rsidRDefault="002320E3" w:rsidP="002320E3">
      <w:pPr>
        <w:spacing w:line="360" w:lineRule="auto"/>
        <w:ind w:left="0" w:firstLine="0"/>
        <w:jc w:val="both"/>
        <w:rPr>
          <w:color w:val="auto"/>
        </w:rPr>
      </w:pPr>
      <w:r w:rsidRPr="00807804">
        <w:rPr>
          <w:color w:val="auto"/>
        </w:rPr>
        <w:t xml:space="preserve">The Gambia Groundnut Corporation and Royal </w:t>
      </w:r>
      <w:r>
        <w:rPr>
          <w:color w:val="auto"/>
        </w:rPr>
        <w:t xml:space="preserve">Enterprise </w:t>
      </w:r>
      <w:r w:rsidRPr="00807804">
        <w:rPr>
          <w:color w:val="auto"/>
        </w:rPr>
        <w:t>are involved in the processing of groundnuts</w:t>
      </w:r>
      <w:r>
        <w:rPr>
          <w:color w:val="auto"/>
        </w:rPr>
        <w:t xml:space="preserve"> for export</w:t>
      </w:r>
      <w:r w:rsidRPr="00807804">
        <w:rPr>
          <w:color w:val="auto"/>
        </w:rPr>
        <w:t xml:space="preserve">. The companies </w:t>
      </w:r>
      <w:r>
        <w:rPr>
          <w:color w:val="auto"/>
        </w:rPr>
        <w:t>buy</w:t>
      </w:r>
      <w:r w:rsidRPr="00807804">
        <w:rPr>
          <w:color w:val="auto"/>
        </w:rPr>
        <w:t xml:space="preserve"> unshelled groundnuts which they </w:t>
      </w:r>
      <w:r>
        <w:rPr>
          <w:color w:val="auto"/>
        </w:rPr>
        <w:t xml:space="preserve">decorticate and </w:t>
      </w:r>
      <w:r w:rsidRPr="00807804">
        <w:rPr>
          <w:color w:val="auto"/>
        </w:rPr>
        <w:t>crush for o</w:t>
      </w:r>
      <w:r>
        <w:rPr>
          <w:color w:val="auto"/>
        </w:rPr>
        <w:t>il.</w:t>
      </w:r>
      <w:r w:rsidRPr="00807804">
        <w:rPr>
          <w:color w:val="auto"/>
        </w:rPr>
        <w:t xml:space="preserve">  Most of the aflatoxins are extracted during the oil extraction process; the </w:t>
      </w:r>
      <w:r>
        <w:rPr>
          <w:color w:val="auto"/>
        </w:rPr>
        <w:t xml:space="preserve">aflatoxin level in the </w:t>
      </w:r>
      <w:r w:rsidRPr="00807804">
        <w:rPr>
          <w:color w:val="auto"/>
        </w:rPr>
        <w:t xml:space="preserve">oil </w:t>
      </w:r>
      <w:r>
        <w:rPr>
          <w:color w:val="auto"/>
        </w:rPr>
        <w:t xml:space="preserve">is relatively lower </w:t>
      </w:r>
      <w:r w:rsidRPr="00807804">
        <w:rPr>
          <w:color w:val="auto"/>
        </w:rPr>
        <w:t xml:space="preserve">leaving the </w:t>
      </w:r>
      <w:r>
        <w:rPr>
          <w:color w:val="auto"/>
        </w:rPr>
        <w:t xml:space="preserve">greater portion of the </w:t>
      </w:r>
      <w:r w:rsidRPr="00807804">
        <w:rPr>
          <w:color w:val="auto"/>
        </w:rPr>
        <w:t>metabolite in the cake. If this cake is used for food or animal feed, potentially harmful amounts of aflatoxin may be ingested.</w:t>
      </w:r>
    </w:p>
    <w:p w14:paraId="452058E5" w14:textId="77777777" w:rsidR="002320E3" w:rsidRDefault="002320E3" w:rsidP="002320E3">
      <w:pPr>
        <w:spacing w:after="157" w:line="360" w:lineRule="auto"/>
        <w:ind w:left="0" w:firstLine="0"/>
        <w:jc w:val="both"/>
      </w:pPr>
      <w:r w:rsidRPr="00306CBA">
        <w:t xml:space="preserve">Home processing of maize </w:t>
      </w:r>
      <w:r>
        <w:t xml:space="preserve">and rice </w:t>
      </w:r>
      <w:r w:rsidRPr="00306CBA">
        <w:t xml:space="preserve">for domestic use is done using mortar and pestle; with the bran as a by-product.  At the local market level, processing into maize flour and maize grits </w:t>
      </w:r>
      <w:r>
        <w:t>i</w:t>
      </w:r>
      <w:r w:rsidRPr="00306CBA">
        <w:t xml:space="preserve">s done with no regard to good hygienic and manufacturing practices. </w:t>
      </w:r>
      <w:r>
        <w:t xml:space="preserve">There </w:t>
      </w:r>
      <w:r w:rsidRPr="005F76A7">
        <w:t>are currently</w:t>
      </w:r>
      <w:r>
        <w:t xml:space="preserve"> rice </w:t>
      </w:r>
      <w:r w:rsidRPr="005F76A7">
        <w:t>mill</w:t>
      </w:r>
      <w:r>
        <w:t>s</w:t>
      </w:r>
      <w:r w:rsidRPr="005F76A7">
        <w:t xml:space="preserve"> operated by various </w:t>
      </w:r>
      <w:r>
        <w:t>Farmer Based Organizations (</w:t>
      </w:r>
      <w:r w:rsidRPr="005F76A7">
        <w:t>FBOs</w:t>
      </w:r>
      <w:r>
        <w:t xml:space="preserve">) and individuals in villages and local markets. </w:t>
      </w:r>
      <w:r w:rsidRPr="00306CBA">
        <w:t>The consumption of the products produced at household level and the markets poses a potential health risk.</w:t>
      </w:r>
    </w:p>
    <w:p w14:paraId="74183A71" w14:textId="77777777" w:rsidR="002320E3" w:rsidRPr="002320E3" w:rsidRDefault="002320E3" w:rsidP="0094607A"/>
    <w:p w14:paraId="133A8444" w14:textId="77777777" w:rsidR="0085234D" w:rsidRDefault="0085234D" w:rsidP="00A43C51">
      <w:pPr>
        <w:spacing w:after="157" w:line="360" w:lineRule="auto"/>
        <w:ind w:left="0" w:firstLine="0"/>
        <w:jc w:val="both"/>
      </w:pPr>
    </w:p>
    <w:p w14:paraId="6D2E6DC6" w14:textId="4E878158" w:rsidR="00A43C51" w:rsidRPr="0085234D" w:rsidRDefault="00AB7996" w:rsidP="00A72DFD">
      <w:pPr>
        <w:pStyle w:val="Heading3"/>
        <w:spacing w:line="480" w:lineRule="auto"/>
        <w:jc w:val="both"/>
      </w:pPr>
      <w:bookmarkStart w:id="22" w:name="_Toc427672759"/>
      <w:r>
        <w:t>6.4.5</w:t>
      </w:r>
      <w:r w:rsidR="00DA5F13" w:rsidRPr="0085234D">
        <w:t xml:space="preserve"> </w:t>
      </w:r>
      <w:r w:rsidR="00A43C51" w:rsidRPr="0085234D">
        <w:t>Risk of contamination during transportation</w:t>
      </w:r>
      <w:bookmarkEnd w:id="22"/>
    </w:p>
    <w:p w14:paraId="2936425D" w14:textId="06E5E370" w:rsidR="00A43C51" w:rsidRPr="00306CBA" w:rsidRDefault="00A43C51" w:rsidP="00A43C51">
      <w:pPr>
        <w:spacing w:after="157" w:line="360" w:lineRule="auto"/>
        <w:ind w:left="0" w:firstLine="0"/>
        <w:jc w:val="both"/>
      </w:pPr>
      <w:r>
        <w:t xml:space="preserve">Maize, rice and groundnuts are transported from the farms mostly by animal drawn carts - </w:t>
      </w:r>
      <w:r w:rsidRPr="00306CBA">
        <w:t>horses, donkeys and oxen</w:t>
      </w:r>
      <w:r>
        <w:t xml:space="preserve">. </w:t>
      </w:r>
      <w:r w:rsidRPr="00306CBA">
        <w:t xml:space="preserve">According to the Agricultural Census (2011/2012) the major mode of transport by farmers (86%) is horses and donkey carts. Farmers transport their groundnuts from the farm to the homestead and to the formal Cooperative Produce Marketing Societies (CPMS) buying points, commonly </w:t>
      </w:r>
      <w:r w:rsidRPr="00306CBA">
        <w:lastRenderedPageBreak/>
        <w:t xml:space="preserve">known as </w:t>
      </w:r>
      <w:r>
        <w:t>secco</w:t>
      </w:r>
      <w:r w:rsidRPr="00306CBA">
        <w:t>, using animal drawn carts.</w:t>
      </w:r>
      <w:r w:rsidR="00F7738B">
        <w:t xml:space="preserve"> </w:t>
      </w:r>
      <w:r w:rsidRPr="00306CBA">
        <w:t>Fr</w:t>
      </w:r>
      <w:r>
        <w:t>om the secco,</w:t>
      </w:r>
      <w:r w:rsidRPr="00306CBA">
        <w:t xml:space="preserve"> the nuts are evacuated to the depots of the GGC, the major processor and exporter of groundnuts and its by-products. The GGC uses river barges to evacuate their stocks from the regional depots to </w:t>
      </w:r>
      <w:r>
        <w:t xml:space="preserve">the </w:t>
      </w:r>
      <w:r w:rsidRPr="00306CBA">
        <w:t>processing plant at Denton Bridge. Traders also purchase and evacuate nuts directly from the farmers’ field</w:t>
      </w:r>
      <w:r>
        <w:t>s</w:t>
      </w:r>
      <w:r w:rsidRPr="00306CBA">
        <w:t xml:space="preserve"> and transport the produce to the </w:t>
      </w:r>
      <w:r w:rsidR="00EC52CB">
        <w:t>loumo</w:t>
      </w:r>
      <w:r w:rsidRPr="00306CBA">
        <w:t xml:space="preserve">s, regular markets, private operators engaged in processing and export using commercial trucks. The bulk of the decorticated nuts in the </w:t>
      </w:r>
      <w:r w:rsidR="00EC52CB">
        <w:t>loumo</w:t>
      </w:r>
      <w:r>
        <w:t>s</w:t>
      </w:r>
      <w:r w:rsidRPr="00306CBA">
        <w:t xml:space="preserve"> are evacuated to the Greater Banjul Area, specifically Serekunda and Brikama wholesale and retail markets (Sandika) using commercial trucks. The risk of aflatoxin contamination is higher in river transportation </w:t>
      </w:r>
      <w:r>
        <w:t xml:space="preserve">because the barges are old, and </w:t>
      </w:r>
      <w:r w:rsidRPr="00306CBA">
        <w:t xml:space="preserve">given the length of time it takes to arrive at Denton Bridge and the </w:t>
      </w:r>
      <w:r>
        <w:t>prevailing storage conditions of</w:t>
      </w:r>
      <w:r w:rsidRPr="00306CBA">
        <w:t xml:space="preserve"> the barges.</w:t>
      </w:r>
      <w:r>
        <w:t xml:space="preserve"> Contamination could occur during transportation if the carts, lorries and barges are not cleaned after each operation. The bags used in these operations are predominantly re-cycled several times without proper cleaning, thus posing more risk of contamination. </w:t>
      </w:r>
    </w:p>
    <w:p w14:paraId="219C9FF6" w14:textId="487D99C1" w:rsidR="00A43C51" w:rsidRPr="0085234D" w:rsidRDefault="00AB7996" w:rsidP="00A72DFD">
      <w:pPr>
        <w:pStyle w:val="Heading3"/>
        <w:spacing w:line="480" w:lineRule="auto"/>
        <w:jc w:val="both"/>
      </w:pPr>
      <w:bookmarkStart w:id="23" w:name="_Toc427672760"/>
      <w:r>
        <w:t>6.4.6</w:t>
      </w:r>
      <w:r w:rsidR="00DA5F13" w:rsidRPr="0085234D">
        <w:t xml:space="preserve"> </w:t>
      </w:r>
      <w:r w:rsidR="00A43C51" w:rsidRPr="0085234D">
        <w:t>Risks of contamination in domestic and international trade</w:t>
      </w:r>
      <w:bookmarkEnd w:id="23"/>
    </w:p>
    <w:p w14:paraId="10B1605C" w14:textId="1C64F565" w:rsidR="00A43C51" w:rsidRPr="00306CBA" w:rsidRDefault="0023335D" w:rsidP="00A43C51">
      <w:pPr>
        <w:spacing w:after="157" w:line="360" w:lineRule="auto"/>
        <w:ind w:left="0" w:firstLine="0"/>
        <w:jc w:val="both"/>
      </w:pPr>
      <w:r>
        <w:t>Groundnuts and maize are</w:t>
      </w:r>
      <w:r w:rsidR="00A43C51">
        <w:t xml:space="preserve"> commodities from which a diverse range of products are made and the raw materials used are mainly rejected kernels. Aflatoxin contamination levels are not considered in the selection of the raw materials used in the preparation of these products. The raw materials used in the production of g</w:t>
      </w:r>
      <w:r w:rsidR="00A43C51" w:rsidRPr="00306CBA">
        <w:t>roundnut</w:t>
      </w:r>
      <w:r w:rsidR="00A43C51">
        <w:t xml:space="preserve"> paste and flour mostly constitute the rejected nuts</w:t>
      </w:r>
      <w:r w:rsidR="00A43C51" w:rsidRPr="00306CBA">
        <w:t xml:space="preserve"> which ar</w:t>
      </w:r>
      <w:r w:rsidR="00A43C51" w:rsidRPr="0049577E">
        <w:rPr>
          <w:color w:val="auto"/>
        </w:rPr>
        <w:t>e potentially highly contaminated with aflatoxin</w:t>
      </w:r>
      <w:r w:rsidR="00A43C51">
        <w:rPr>
          <w:color w:val="auto"/>
        </w:rPr>
        <w:t>, thereby posing a health risk</w:t>
      </w:r>
      <w:r w:rsidR="00A43C51" w:rsidRPr="0049577E">
        <w:rPr>
          <w:color w:val="auto"/>
        </w:rPr>
        <w:t>. There are no price differentials based on aflatoxin contamination levels for any of the commodities presenting a greater risk of aflatoxin exposure to the consumer; there is no incentive for the farmer and other actors to place uncontaminated products in the markets.</w:t>
      </w:r>
      <w:r w:rsidR="00A43C51" w:rsidRPr="00306CBA">
        <w:t xml:space="preserve"> </w:t>
      </w:r>
    </w:p>
    <w:p w14:paraId="7FCA618A" w14:textId="26CCC967" w:rsidR="00A43C51" w:rsidRPr="00A05729" w:rsidRDefault="00A43C51" w:rsidP="00A43C51">
      <w:pPr>
        <w:spacing w:after="157" w:line="360" w:lineRule="auto"/>
        <w:ind w:left="0" w:firstLine="0"/>
        <w:jc w:val="both"/>
        <w:rPr>
          <w:b/>
        </w:rPr>
      </w:pPr>
      <w:r w:rsidRPr="00306CBA">
        <w:t xml:space="preserve">The concern over </w:t>
      </w:r>
      <w:r w:rsidR="0023335D">
        <w:t xml:space="preserve">the </w:t>
      </w:r>
      <w:r w:rsidRPr="00306CBA">
        <w:t xml:space="preserve">health hazards of aflatoxin-contaminated groundnuts has led to the imposition of </w:t>
      </w:r>
      <w:r w:rsidR="005046CC">
        <w:t>more stringent regulations by some countries</w:t>
      </w:r>
      <w:r w:rsidRPr="00306CBA">
        <w:t xml:space="preserve">. For instance, the European Union (EU) has set a </w:t>
      </w:r>
      <w:r w:rsidR="005046CC">
        <w:t>harmonized aflatoxin regulation</w:t>
      </w:r>
      <w:r w:rsidRPr="00306CBA">
        <w:t xml:space="preserve"> for European food </w:t>
      </w:r>
      <w:r w:rsidR="005046CC">
        <w:t>and feed</w:t>
      </w:r>
      <w:r w:rsidRPr="00306CBA">
        <w:t xml:space="preserve">. In general, a more stringent standard on </w:t>
      </w:r>
      <w:r w:rsidR="00FE08E3">
        <w:t>AF</w:t>
      </w:r>
      <w:r w:rsidRPr="00306CBA">
        <w:t>B</w:t>
      </w:r>
      <w:r w:rsidRPr="0094607A">
        <w:rPr>
          <w:vertAlign w:val="subscript"/>
        </w:rPr>
        <w:t>1</w:t>
      </w:r>
      <w:r w:rsidRPr="00306CBA">
        <w:t xml:space="preserve"> is applied to food products intended for direct human consumption, compared to the </w:t>
      </w:r>
      <w:r w:rsidR="005046CC">
        <w:t>regulations</w:t>
      </w:r>
      <w:r w:rsidRPr="00306CBA">
        <w:t xml:space="preserve"> applied to food products that are to undergo further processing (Boakye-Yiadom</w:t>
      </w:r>
      <w:r w:rsidR="00133176">
        <w:t xml:space="preserve">, 2003). The maximum </w:t>
      </w:r>
      <w:r w:rsidR="00B12F3C">
        <w:t>permissible</w:t>
      </w:r>
      <w:r w:rsidR="00B12F3C" w:rsidRPr="00306CBA">
        <w:t xml:space="preserve"> </w:t>
      </w:r>
      <w:r w:rsidRPr="00306CBA">
        <w:t xml:space="preserve">levels for </w:t>
      </w:r>
      <w:r w:rsidR="00773040">
        <w:t>AF</w:t>
      </w:r>
      <w:r w:rsidRPr="00306CBA">
        <w:t>B</w:t>
      </w:r>
      <w:r w:rsidRPr="0094607A">
        <w:rPr>
          <w:vertAlign w:val="subscript"/>
        </w:rPr>
        <w:t>1</w:t>
      </w:r>
      <w:r w:rsidRPr="00306CBA">
        <w:t xml:space="preserve"> is </w:t>
      </w:r>
      <w:r w:rsidRPr="00306CBA">
        <w:rPr>
          <w:color w:val="auto"/>
        </w:rPr>
        <w:t>2</w:t>
      </w:r>
      <w:r w:rsidR="00B12F3C">
        <w:rPr>
          <w:color w:val="auto"/>
        </w:rPr>
        <w:t>ppb</w:t>
      </w:r>
      <w:r w:rsidRPr="00306CBA">
        <w:rPr>
          <w:color w:val="auto"/>
        </w:rPr>
        <w:t xml:space="preserve"> </w:t>
      </w:r>
      <w:r w:rsidR="00133176">
        <w:rPr>
          <w:color w:val="auto"/>
        </w:rPr>
        <w:t xml:space="preserve">for groundnuts intended for direct human consumption, </w:t>
      </w:r>
      <w:r w:rsidRPr="00306CBA">
        <w:rPr>
          <w:color w:val="auto"/>
        </w:rPr>
        <w:t xml:space="preserve">and 4 ppb for total aflatoxin </w:t>
      </w:r>
      <w:r w:rsidR="00133176">
        <w:rPr>
          <w:color w:val="auto"/>
        </w:rPr>
        <w:t>if intended</w:t>
      </w:r>
      <w:r w:rsidRPr="0049577E">
        <w:rPr>
          <w:color w:val="auto"/>
        </w:rPr>
        <w:t xml:space="preserve"> as an ingredient of foodstuffs. For bird feed</w:t>
      </w:r>
      <w:r w:rsidR="00B12F3C">
        <w:rPr>
          <w:color w:val="auto"/>
        </w:rPr>
        <w:t>,</w:t>
      </w:r>
      <w:r w:rsidRPr="0049577E">
        <w:rPr>
          <w:color w:val="auto"/>
        </w:rPr>
        <w:t xml:space="preserve"> the level </w:t>
      </w:r>
      <w:r>
        <w:rPr>
          <w:color w:val="auto"/>
        </w:rPr>
        <w:t xml:space="preserve">for </w:t>
      </w:r>
      <w:r w:rsidR="00773040">
        <w:rPr>
          <w:color w:val="auto"/>
        </w:rPr>
        <w:t>AF</w:t>
      </w:r>
      <w:r>
        <w:rPr>
          <w:color w:val="auto"/>
        </w:rPr>
        <w:t>B</w:t>
      </w:r>
      <w:r w:rsidRPr="0094607A">
        <w:rPr>
          <w:color w:val="auto"/>
          <w:vertAlign w:val="subscript"/>
        </w:rPr>
        <w:t>1</w:t>
      </w:r>
      <w:r>
        <w:rPr>
          <w:color w:val="auto"/>
        </w:rPr>
        <w:t xml:space="preserve"> </w:t>
      </w:r>
      <w:r w:rsidRPr="0049577E">
        <w:rPr>
          <w:color w:val="auto"/>
        </w:rPr>
        <w:t xml:space="preserve">is 20 </w:t>
      </w:r>
      <w:r w:rsidRPr="00306CBA">
        <w:t>ppb. Currently, the exports of groundnuts are mainly hand-picked selected (HPS) for wild bird feed to EU and smaller quantities to Asia. The crude oil, in which aflatoxin contamination is not a major issue, is exported to France and Italy. The non-detoxified groundnut cake is exported to Senegal and Mauritania.  The country is not fetching premium price from exports of these commodities resulting in economic losses.</w:t>
      </w:r>
    </w:p>
    <w:p w14:paraId="036F0000" w14:textId="66D9D59F" w:rsidR="00DF1339" w:rsidRPr="0085234D" w:rsidRDefault="00AB7996" w:rsidP="00A72DFD">
      <w:pPr>
        <w:pStyle w:val="Heading3"/>
        <w:spacing w:line="480" w:lineRule="auto"/>
        <w:jc w:val="both"/>
      </w:pPr>
      <w:bookmarkStart w:id="24" w:name="_Toc427672761"/>
      <w:r>
        <w:lastRenderedPageBreak/>
        <w:t>6.4.7</w:t>
      </w:r>
      <w:r w:rsidR="00DA5F13" w:rsidRPr="0085234D">
        <w:t xml:space="preserve"> </w:t>
      </w:r>
      <w:r w:rsidR="00A05729" w:rsidRPr="0085234D">
        <w:t>Risk of contamination of livestock feeds</w:t>
      </w:r>
      <w:bookmarkEnd w:id="24"/>
    </w:p>
    <w:p w14:paraId="545FAA2F" w14:textId="77777777" w:rsidR="00DF1339" w:rsidRDefault="00DF1339" w:rsidP="00682C02">
      <w:pPr>
        <w:spacing w:line="360" w:lineRule="auto"/>
        <w:jc w:val="both"/>
      </w:pPr>
      <w:r>
        <w:t xml:space="preserve">Susceptibility of livestock to aflatoxin varies by species. Susceptible species include chicken, swine, cattle and sheep in order of decreasing sensitivity.  Livestock in intensive systems are at higher risk of dietary exposure than animals in extensive systems. In The Gambia, intensive production systems are limited to commercial poultry production, and semi-intensive systems are to pigs, cattle and sheep. Thus, aflatoxins are more likely to be a problem in commercial poultry production systems. </w:t>
      </w:r>
    </w:p>
    <w:p w14:paraId="7510B107" w14:textId="0089C717" w:rsidR="00DF1339" w:rsidRDefault="00DF1339" w:rsidP="00682C02">
      <w:pPr>
        <w:spacing w:line="360" w:lineRule="auto"/>
        <w:jc w:val="both"/>
      </w:pPr>
      <w:r>
        <w:t>The most common aflatoxin feed sources include groundnut cake, maize and rice bran, the raw materials used as components of supplementary feeds for livestock and compounded feeds for poultry and pigs. In countries where regulation for aflatoxins in animal feeds exists, the permissible aflatoxin levels in animal feeds range from 0 to 50 parts per billion (ppb) with an average of 20 ppb (FAO 2004).</w:t>
      </w:r>
      <w:r>
        <w:rPr>
          <w:color w:val="FF0000"/>
        </w:rPr>
        <w:t xml:space="preserve"> </w:t>
      </w:r>
      <w:r>
        <w:t xml:space="preserve">Consumption of </w:t>
      </w:r>
      <w:r w:rsidR="007055EB">
        <w:t>m</w:t>
      </w:r>
      <w:r w:rsidR="00703529">
        <w:t>ycotoxin</w:t>
      </w:r>
      <w:r w:rsidR="007055EB">
        <w:t xml:space="preserve"> </w:t>
      </w:r>
      <w:r>
        <w:t xml:space="preserve">contaminated diets by farm animals can cause a wide variety of adverse clinical signs depending on the nature and concentration of the </w:t>
      </w:r>
      <w:r w:rsidR="00A073F0">
        <w:t>m</w:t>
      </w:r>
      <w:r w:rsidR="00703529">
        <w:t>ycotoxins</w:t>
      </w:r>
      <w:r>
        <w:t xml:space="preserve"> present, the duration of exposure, and the animal species and its nutritional and health status prior to exposure.</w:t>
      </w:r>
    </w:p>
    <w:p w14:paraId="1C643F39" w14:textId="525F6AD6" w:rsidR="00DF1339" w:rsidRDefault="00DF1339" w:rsidP="00682C02">
      <w:pPr>
        <w:spacing w:line="360" w:lineRule="auto"/>
        <w:jc w:val="both"/>
      </w:pPr>
      <w:r>
        <w:t xml:space="preserve">As indicated above, poultry </w:t>
      </w:r>
      <w:r>
        <w:rPr>
          <w:lang w:val="en-US"/>
        </w:rPr>
        <w:t xml:space="preserve">is the most affected, as over 60% of poultry feed sources are susceptible to aflatoxin contamination. Feeding of aflatoxin contaminated feed to poultry leads to </w:t>
      </w:r>
      <w:r>
        <w:t>high morbidity and mortality resulting in severe economic losses;</w:t>
      </w:r>
      <w:r>
        <w:rPr>
          <w:lang w:val="en-US"/>
        </w:rPr>
        <w:t xml:space="preserve"> r</w:t>
      </w:r>
      <w:r>
        <w:t>educed feed intake or feed refusal, poor feed conversion efficiency, reduced growth rate, egg production inhibition and egg hatchability, impaired kidney function, altered immune mechanism resulting in vaccine failures</w:t>
      </w:r>
      <w:r w:rsidR="00C47CF9">
        <w:t xml:space="preserve"> and</w:t>
      </w:r>
      <w:r>
        <w:t xml:space="preserve"> increased susceptibility to infections. Poultry feed contaminated at the level of 3,000 ppb may result in levels of 3 ppb in poultry meat. Aflatoxins may </w:t>
      </w:r>
      <w:r w:rsidR="002320E3">
        <w:t xml:space="preserve">also be </w:t>
      </w:r>
      <w:r>
        <w:t>carried over from feed to eggs (Zaghini et al. 2005)</w:t>
      </w:r>
      <w:r w:rsidR="003E1254">
        <w:t>; this implies that aflatoxin contaminated poultry products (meat and egg) can lead to increased human exposure to aflatoxins</w:t>
      </w:r>
      <w:r w:rsidR="000904B3">
        <w:t>.</w:t>
      </w:r>
    </w:p>
    <w:p w14:paraId="4CDA33EA" w14:textId="59B67C79" w:rsidR="00DF1339" w:rsidRDefault="00DF1339" w:rsidP="00682C02">
      <w:pPr>
        <w:spacing w:line="360" w:lineRule="auto"/>
        <w:jc w:val="both"/>
      </w:pPr>
      <w:r>
        <w:t>Low levels of aflatoxin (20 to 200 ppb) in the diet of pigs can result in decreased feed intake, slower growth rate and decreased ability to resist disease. In general</w:t>
      </w:r>
      <w:r w:rsidR="004000B9">
        <w:t>,</w:t>
      </w:r>
      <w:r>
        <w:t xml:space="preserve"> younger animals are more susceptible than older market animals or breeding animals. With increasing levels of aflatoxin in the diet, </w:t>
      </w:r>
      <w:r w:rsidR="006F2D29">
        <w:t>re</w:t>
      </w:r>
      <w:r w:rsidR="00C128BF">
        <w:t>pressed</w:t>
      </w:r>
      <w:r>
        <w:t xml:space="preserve"> feed intake and growth rate become severe. If aflatoxin levels are high enough, liver damage can occur. Trace levels of aflatoxins and their metabolites may also carry over into the edible tissue of meat-producing animals. When aflatoxin contaminated rations are fed to lactating animals, the toxin may be secreted in milk resulting in a negative impact on suckling young. </w:t>
      </w:r>
      <w:r w:rsidR="00BA5B15">
        <w:t>AF</w:t>
      </w:r>
      <w:r>
        <w:t>B</w:t>
      </w:r>
      <w:r w:rsidRPr="0094607A">
        <w:rPr>
          <w:vertAlign w:val="subscript"/>
        </w:rPr>
        <w:t>1</w:t>
      </w:r>
      <w:r>
        <w:t xml:space="preserve"> is metabolized to AFM</w:t>
      </w:r>
      <w:r w:rsidRPr="0094607A">
        <w:rPr>
          <w:vertAlign w:val="subscript"/>
        </w:rPr>
        <w:t>1</w:t>
      </w:r>
      <w:r>
        <w:t xml:space="preserve"> in the liver and excreted in the milk of dairy cows. </w:t>
      </w:r>
    </w:p>
    <w:p w14:paraId="213BB55E" w14:textId="05AD6025" w:rsidR="00A2788F" w:rsidRDefault="00A2788F" w:rsidP="00682C02">
      <w:pPr>
        <w:spacing w:line="360" w:lineRule="auto"/>
        <w:jc w:val="both"/>
      </w:pPr>
      <w:r w:rsidRPr="00306CBA">
        <w:rPr>
          <w:color w:val="auto"/>
        </w:rPr>
        <w:t>As indicated above, the composition of the</w:t>
      </w:r>
      <w:r w:rsidRPr="00306CBA">
        <w:t xml:space="preserve"> feeds given to poultry is derived from susceptible crops and their by-products - maize, groundnut cake and rice bran.  The feeding of aflatoxin-contaminated feeds to </w:t>
      </w:r>
      <w:r w:rsidRPr="00306CBA">
        <w:lastRenderedPageBreak/>
        <w:t>poultry can have health impacts on the birds and economic impacts on the producers; in addition</w:t>
      </w:r>
      <w:r w:rsidR="00426F10">
        <w:t>,</w:t>
      </w:r>
      <w:r w:rsidRPr="00306CBA">
        <w:t xml:space="preserve"> the consumption of poultry products from chickens fed aflatoxin contaminated feeds can have heath impacts on humans.</w:t>
      </w:r>
    </w:p>
    <w:p w14:paraId="5481ED83" w14:textId="69B2A17E" w:rsidR="00E61D71" w:rsidRDefault="00AB7996" w:rsidP="00DD19CF">
      <w:pPr>
        <w:pStyle w:val="Heading1"/>
      </w:pPr>
      <w:bookmarkStart w:id="25" w:name="_Toc427672762"/>
      <w:r>
        <w:t>7</w:t>
      </w:r>
      <w:r w:rsidR="00DA5F13" w:rsidRPr="00DD19CF">
        <w:t xml:space="preserve">.0 </w:t>
      </w:r>
      <w:r w:rsidR="00E61D71" w:rsidRPr="00DD19CF">
        <w:t>Awareness</w:t>
      </w:r>
      <w:r w:rsidR="00DD19CF">
        <w:t xml:space="preserve"> Levels</w:t>
      </w:r>
      <w:bookmarkEnd w:id="25"/>
    </w:p>
    <w:p w14:paraId="0D62208E" w14:textId="77777777" w:rsidR="00DD19CF" w:rsidRPr="00DD19CF" w:rsidRDefault="00DD19CF" w:rsidP="00DB1ABF">
      <w:pPr>
        <w:pStyle w:val="Heading2"/>
      </w:pPr>
    </w:p>
    <w:p w14:paraId="1A2CBF47" w14:textId="1271BB2B" w:rsidR="00E61D71" w:rsidRDefault="00504BDC" w:rsidP="00682C02">
      <w:pPr>
        <w:spacing w:line="360" w:lineRule="auto"/>
        <w:ind w:left="-6" w:hanging="11"/>
        <w:jc w:val="both"/>
      </w:pPr>
      <w:r>
        <w:rPr>
          <w:color w:val="auto"/>
        </w:rPr>
        <w:t xml:space="preserve">The awareness levels of groundnut, maize and value chain actors vary (Table </w:t>
      </w:r>
      <w:r w:rsidR="00C43D04">
        <w:rPr>
          <w:color w:val="auto"/>
        </w:rPr>
        <w:t>6</w:t>
      </w:r>
      <w:r>
        <w:rPr>
          <w:color w:val="auto"/>
        </w:rPr>
        <w:t>).</w:t>
      </w:r>
      <w:r w:rsidR="00E61D71" w:rsidRPr="00161C47">
        <w:rPr>
          <w:color w:val="auto"/>
        </w:rPr>
        <w:t xml:space="preserve"> Compared to the maize and rice value chain actors, the groundnut value chain actors are relatively more aware </w:t>
      </w:r>
      <w:r w:rsidR="00462084">
        <w:rPr>
          <w:color w:val="auto"/>
        </w:rPr>
        <w:t xml:space="preserve">(50%) </w:t>
      </w:r>
      <w:r w:rsidR="00E61D71" w:rsidRPr="00161C47">
        <w:rPr>
          <w:color w:val="auto"/>
        </w:rPr>
        <w:t>of aflatoxin contamination.</w:t>
      </w:r>
      <w:r w:rsidR="00E61D71" w:rsidRPr="009773AB">
        <w:rPr>
          <w:color w:val="auto"/>
        </w:rPr>
        <w:t xml:space="preserve"> </w:t>
      </w:r>
      <w:r w:rsidR="00F20D7D">
        <w:rPr>
          <w:color w:val="auto"/>
        </w:rPr>
        <w:t>Among the least aware are the i</w:t>
      </w:r>
      <w:r w:rsidR="00E61D71" w:rsidRPr="009773AB">
        <w:rPr>
          <w:color w:val="auto"/>
        </w:rPr>
        <w:t>ndustrial feed millers</w:t>
      </w:r>
      <w:r w:rsidR="00F20D7D">
        <w:rPr>
          <w:color w:val="auto"/>
        </w:rPr>
        <w:t xml:space="preserve"> and commercial poultry farmers</w:t>
      </w:r>
      <w:r w:rsidR="00E61D71" w:rsidRPr="009773AB">
        <w:rPr>
          <w:color w:val="auto"/>
        </w:rPr>
        <w:t xml:space="preserve"> </w:t>
      </w:r>
      <w:r>
        <w:rPr>
          <w:color w:val="auto"/>
        </w:rPr>
        <w:t xml:space="preserve">(less than 25%) </w:t>
      </w:r>
      <w:r w:rsidR="00F20D7D">
        <w:rPr>
          <w:color w:val="auto"/>
        </w:rPr>
        <w:t xml:space="preserve">who are not even </w:t>
      </w:r>
      <w:r>
        <w:rPr>
          <w:color w:val="auto"/>
        </w:rPr>
        <w:t xml:space="preserve">aware that </w:t>
      </w:r>
      <w:r w:rsidR="002C188C">
        <w:rPr>
          <w:color w:val="auto"/>
        </w:rPr>
        <w:t xml:space="preserve">the raw materials used to manufacture poultry feed could be contaminated with aflatoxin. </w:t>
      </w:r>
      <w:r>
        <w:rPr>
          <w:color w:val="auto"/>
        </w:rPr>
        <w:t xml:space="preserve"> </w:t>
      </w:r>
      <w:r w:rsidR="00F20D7D">
        <w:rPr>
          <w:color w:val="auto"/>
        </w:rPr>
        <w:t>Furthermore, the</w:t>
      </w:r>
      <w:r w:rsidR="00CC6338">
        <w:rPr>
          <w:color w:val="auto"/>
        </w:rPr>
        <w:t xml:space="preserve"> </w:t>
      </w:r>
      <w:r w:rsidR="00F20D7D">
        <w:rPr>
          <w:color w:val="auto"/>
        </w:rPr>
        <w:t>c</w:t>
      </w:r>
      <w:r w:rsidR="00E61D71" w:rsidRPr="009773AB">
        <w:rPr>
          <w:color w:val="auto"/>
        </w:rPr>
        <w:t xml:space="preserve">ommercial poultry farmers </w:t>
      </w:r>
      <w:r w:rsidR="002C188C">
        <w:rPr>
          <w:color w:val="auto"/>
        </w:rPr>
        <w:t>a</w:t>
      </w:r>
      <w:r w:rsidR="00E61D71" w:rsidRPr="009773AB">
        <w:rPr>
          <w:color w:val="auto"/>
        </w:rPr>
        <w:t xml:space="preserve">re </w:t>
      </w:r>
      <w:r w:rsidR="00E61D71">
        <w:rPr>
          <w:color w:val="auto"/>
        </w:rPr>
        <w:t xml:space="preserve">not aware </w:t>
      </w:r>
      <w:r w:rsidR="00E61D71" w:rsidRPr="009773AB">
        <w:rPr>
          <w:color w:val="auto"/>
        </w:rPr>
        <w:t xml:space="preserve">that </w:t>
      </w:r>
      <w:r w:rsidR="00CC6338">
        <w:rPr>
          <w:color w:val="auto"/>
        </w:rPr>
        <w:t xml:space="preserve">poultry </w:t>
      </w:r>
      <w:r w:rsidR="00E61D71" w:rsidRPr="009773AB">
        <w:rPr>
          <w:color w:val="auto"/>
        </w:rPr>
        <w:t xml:space="preserve">eggs and meat could be contaminated </w:t>
      </w:r>
      <w:r w:rsidR="00CC6338">
        <w:rPr>
          <w:color w:val="auto"/>
        </w:rPr>
        <w:t xml:space="preserve">if their flocks are fed </w:t>
      </w:r>
      <w:r w:rsidR="00E61D71" w:rsidRPr="009773AB">
        <w:rPr>
          <w:color w:val="auto"/>
        </w:rPr>
        <w:t>aflatoxin</w:t>
      </w:r>
      <w:r w:rsidR="00CC6338">
        <w:rPr>
          <w:color w:val="auto"/>
        </w:rPr>
        <w:t xml:space="preserve"> contaminated feed.</w:t>
      </w:r>
      <w:r w:rsidR="00256DDF">
        <w:rPr>
          <w:color w:val="auto"/>
        </w:rPr>
        <w:t xml:space="preserve"> They are also not aware of the disease conditions associated with the consumption of aflatoxin contaminated feed by their poultry flocks and the attendant health implications in humans by the consumption of contaminated poultry meat and eggs.</w:t>
      </w:r>
      <w:r w:rsidR="00E61D71" w:rsidRPr="00CB0E36">
        <w:t xml:space="preserve"> </w:t>
      </w:r>
      <w:r w:rsidR="00F460D1">
        <w:t xml:space="preserve">As </w:t>
      </w:r>
      <w:r w:rsidR="007E5124">
        <w:t xml:space="preserve">also </w:t>
      </w:r>
      <w:r w:rsidR="00F460D1">
        <w:t xml:space="preserve">shown in </w:t>
      </w:r>
      <w:r w:rsidR="007E5124">
        <w:t>the t</w:t>
      </w:r>
      <w:r w:rsidR="00F460D1">
        <w:t>able</w:t>
      </w:r>
      <w:r w:rsidR="007E5124">
        <w:t>,</w:t>
      </w:r>
      <w:r w:rsidR="00F460D1">
        <w:rPr>
          <w:color w:val="FF0000"/>
        </w:rPr>
        <w:t xml:space="preserve"> </w:t>
      </w:r>
      <w:r w:rsidR="00F460D1" w:rsidRPr="004A4418">
        <w:rPr>
          <w:color w:val="auto"/>
        </w:rPr>
        <w:t>t</w:t>
      </w:r>
      <w:r w:rsidR="00E61D71">
        <w:t xml:space="preserve">he </w:t>
      </w:r>
      <w:r w:rsidR="002C188C">
        <w:t xml:space="preserve">members of the </w:t>
      </w:r>
      <w:r w:rsidR="00E61D71">
        <w:t xml:space="preserve">consumer associations </w:t>
      </w:r>
      <w:r w:rsidR="00F460D1">
        <w:t>have very low</w:t>
      </w:r>
      <w:r w:rsidR="00E61D71">
        <w:t xml:space="preserve"> </w:t>
      </w:r>
      <w:r w:rsidR="00F460D1">
        <w:t>awareness lev</w:t>
      </w:r>
      <w:r w:rsidR="00E61D71">
        <w:t>e</w:t>
      </w:r>
      <w:r w:rsidR="00F460D1">
        <w:t>l</w:t>
      </w:r>
      <w:r w:rsidR="00703529">
        <w:t>; they</w:t>
      </w:r>
      <w:r w:rsidR="00F460D1">
        <w:t xml:space="preserve"> do not know </w:t>
      </w:r>
      <w:r w:rsidR="00E61D71">
        <w:t>the health implications associated with the consumption of aflatoxin contaminated foods.</w:t>
      </w:r>
      <w:r w:rsidR="000904B3">
        <w:t xml:space="preserve"> There are no differences between male and females in terms of awareness of aflatoxin issues.</w:t>
      </w:r>
    </w:p>
    <w:p w14:paraId="1C5140EE" w14:textId="2EF0057D" w:rsidR="00BA213E" w:rsidRPr="00BA213E" w:rsidRDefault="00BA213E" w:rsidP="002A5369">
      <w:pPr>
        <w:spacing w:after="0" w:line="480" w:lineRule="auto"/>
        <w:ind w:left="-6" w:hanging="11"/>
        <w:jc w:val="both"/>
        <w:rPr>
          <w:b/>
          <w:color w:val="FF0000"/>
        </w:rPr>
      </w:pPr>
      <w:r w:rsidRPr="00BA213E">
        <w:rPr>
          <w:b/>
          <w:color w:val="auto"/>
        </w:rPr>
        <w:t>Table</w:t>
      </w:r>
      <w:r w:rsidR="00C43D04">
        <w:rPr>
          <w:b/>
          <w:color w:val="auto"/>
        </w:rPr>
        <w:t xml:space="preserve"> 6</w:t>
      </w:r>
      <w:r w:rsidRPr="00BA213E">
        <w:rPr>
          <w:b/>
          <w:color w:val="auto"/>
        </w:rPr>
        <w:t>. Level of Awareness</w:t>
      </w:r>
      <w:r w:rsidR="002C2B9D">
        <w:rPr>
          <w:b/>
          <w:color w:val="auto"/>
        </w:rPr>
        <w:t xml:space="preserve"> among value chain actors for groundnut, maize and rice</w:t>
      </w:r>
    </w:p>
    <w:tbl>
      <w:tblPr>
        <w:tblStyle w:val="TableGrid0"/>
        <w:tblW w:w="0" w:type="auto"/>
        <w:jc w:val="center"/>
        <w:tblLook w:val="04A0" w:firstRow="1" w:lastRow="0" w:firstColumn="1" w:lastColumn="0" w:noHBand="0" w:noVBand="1"/>
      </w:tblPr>
      <w:tblGrid>
        <w:gridCol w:w="2433"/>
        <w:gridCol w:w="1081"/>
        <w:gridCol w:w="1291"/>
        <w:gridCol w:w="1275"/>
        <w:gridCol w:w="1160"/>
        <w:gridCol w:w="1161"/>
        <w:gridCol w:w="1175"/>
      </w:tblGrid>
      <w:tr w:rsidR="00E61D71" w:rsidRPr="009773AB" w14:paraId="2CAF69C5" w14:textId="77777777" w:rsidTr="00B90D8F">
        <w:trPr>
          <w:jc w:val="center"/>
        </w:trPr>
        <w:tc>
          <w:tcPr>
            <w:tcW w:w="2553" w:type="dxa"/>
          </w:tcPr>
          <w:p w14:paraId="41B2B566" w14:textId="4F222871" w:rsidR="00E61D71" w:rsidRPr="009773AB" w:rsidRDefault="00E61D71" w:rsidP="00FE0B3E">
            <w:pPr>
              <w:spacing w:after="157" w:line="360" w:lineRule="auto"/>
              <w:ind w:left="0" w:firstLine="0"/>
              <w:jc w:val="both"/>
              <w:rPr>
                <w:color w:val="auto"/>
              </w:rPr>
            </w:pPr>
          </w:p>
        </w:tc>
        <w:tc>
          <w:tcPr>
            <w:tcW w:w="7461" w:type="dxa"/>
            <w:gridSpan w:val="6"/>
          </w:tcPr>
          <w:p w14:paraId="7FE5E324" w14:textId="77777777" w:rsidR="00E61D71" w:rsidRPr="00BA213E" w:rsidRDefault="00E61D71" w:rsidP="00FE0B3E">
            <w:pPr>
              <w:spacing w:after="0" w:line="240" w:lineRule="auto"/>
              <w:ind w:left="0" w:firstLine="0"/>
              <w:jc w:val="center"/>
              <w:rPr>
                <w:b/>
                <w:color w:val="auto"/>
              </w:rPr>
            </w:pPr>
            <w:r w:rsidRPr="00BA213E">
              <w:rPr>
                <w:b/>
                <w:color w:val="auto"/>
              </w:rPr>
              <w:t>Level of Awareness</w:t>
            </w:r>
          </w:p>
          <w:p w14:paraId="3147DB28" w14:textId="1946807B" w:rsidR="00E61D71" w:rsidRPr="00BA213E" w:rsidRDefault="003955F5" w:rsidP="00FE0B3E">
            <w:pPr>
              <w:spacing w:after="0" w:line="240" w:lineRule="auto"/>
              <w:ind w:left="0" w:firstLine="0"/>
              <w:jc w:val="center"/>
              <w:rPr>
                <w:b/>
                <w:color w:val="auto"/>
              </w:rPr>
            </w:pPr>
            <w:r>
              <w:rPr>
                <w:b/>
                <w:color w:val="auto"/>
              </w:rPr>
              <w:t>(</w:t>
            </w:r>
            <w:r w:rsidR="00E61D71" w:rsidRPr="00BA213E">
              <w:rPr>
                <w:b/>
                <w:color w:val="auto"/>
              </w:rPr>
              <w:t xml:space="preserve"> 50% = high; &lt;50% = median; &lt;25% = low</w:t>
            </w:r>
          </w:p>
        </w:tc>
      </w:tr>
      <w:tr w:rsidR="00E61D71" w:rsidRPr="00BA213E" w14:paraId="0599D811" w14:textId="77777777" w:rsidTr="00B90D8F">
        <w:trPr>
          <w:trHeight w:hRule="exact" w:val="284"/>
          <w:jc w:val="center"/>
        </w:trPr>
        <w:tc>
          <w:tcPr>
            <w:tcW w:w="2553" w:type="dxa"/>
          </w:tcPr>
          <w:p w14:paraId="6079750B" w14:textId="77777777" w:rsidR="00E61D71" w:rsidRPr="00BA213E" w:rsidRDefault="00E61D71" w:rsidP="00FE0B3E">
            <w:pPr>
              <w:spacing w:after="157" w:line="360" w:lineRule="auto"/>
              <w:ind w:left="0" w:firstLine="0"/>
              <w:jc w:val="both"/>
              <w:rPr>
                <w:b/>
                <w:color w:val="auto"/>
              </w:rPr>
            </w:pPr>
          </w:p>
        </w:tc>
        <w:tc>
          <w:tcPr>
            <w:tcW w:w="3815" w:type="dxa"/>
            <w:gridSpan w:val="3"/>
          </w:tcPr>
          <w:p w14:paraId="2E8C15F7" w14:textId="77777777" w:rsidR="00E61D71" w:rsidRPr="00BA213E" w:rsidRDefault="00E61D71" w:rsidP="00FE0B3E">
            <w:pPr>
              <w:spacing w:after="157" w:line="360" w:lineRule="auto"/>
              <w:ind w:left="0" w:firstLine="0"/>
              <w:jc w:val="center"/>
              <w:rPr>
                <w:b/>
                <w:color w:val="auto"/>
              </w:rPr>
            </w:pPr>
            <w:r w:rsidRPr="00BA213E">
              <w:rPr>
                <w:b/>
                <w:color w:val="auto"/>
              </w:rPr>
              <w:t>Male</w:t>
            </w:r>
          </w:p>
        </w:tc>
        <w:tc>
          <w:tcPr>
            <w:tcW w:w="3646" w:type="dxa"/>
            <w:gridSpan w:val="3"/>
          </w:tcPr>
          <w:p w14:paraId="4F337EF2" w14:textId="77777777" w:rsidR="00E61D71" w:rsidRPr="00BA213E" w:rsidRDefault="00E61D71" w:rsidP="00FE0B3E">
            <w:pPr>
              <w:spacing w:after="0" w:line="240" w:lineRule="auto"/>
              <w:ind w:left="0" w:firstLine="0"/>
              <w:jc w:val="center"/>
              <w:rPr>
                <w:b/>
                <w:color w:val="auto"/>
              </w:rPr>
            </w:pPr>
            <w:r w:rsidRPr="00BA213E">
              <w:rPr>
                <w:b/>
                <w:color w:val="auto"/>
              </w:rPr>
              <w:t>Females</w:t>
            </w:r>
          </w:p>
        </w:tc>
      </w:tr>
      <w:tr w:rsidR="00E61D71" w:rsidRPr="00BA213E" w14:paraId="48E11340" w14:textId="77777777" w:rsidTr="00B90D8F">
        <w:trPr>
          <w:trHeight w:hRule="exact" w:val="284"/>
          <w:jc w:val="center"/>
        </w:trPr>
        <w:tc>
          <w:tcPr>
            <w:tcW w:w="2553" w:type="dxa"/>
          </w:tcPr>
          <w:p w14:paraId="7A02C8F5" w14:textId="77777777" w:rsidR="00E61D71" w:rsidRPr="00BA213E" w:rsidRDefault="00E61D71" w:rsidP="00FE0B3E">
            <w:pPr>
              <w:spacing w:after="157" w:line="360" w:lineRule="auto"/>
              <w:ind w:left="0" w:firstLine="0"/>
              <w:jc w:val="both"/>
              <w:rPr>
                <w:b/>
                <w:color w:val="auto"/>
              </w:rPr>
            </w:pPr>
            <w:r w:rsidRPr="00BA213E">
              <w:rPr>
                <w:b/>
                <w:color w:val="auto"/>
              </w:rPr>
              <w:t>Crop / Actors</w:t>
            </w:r>
          </w:p>
        </w:tc>
        <w:tc>
          <w:tcPr>
            <w:tcW w:w="1128" w:type="dxa"/>
            <w:shd w:val="clear" w:color="auto" w:fill="D0CECE" w:themeFill="background2" w:themeFillShade="E6"/>
          </w:tcPr>
          <w:p w14:paraId="57E45577" w14:textId="40BBBDBC" w:rsidR="00E61D71" w:rsidRPr="00BA213E" w:rsidRDefault="00E61D71" w:rsidP="00FE0B3E">
            <w:pPr>
              <w:spacing w:after="157" w:line="360" w:lineRule="auto"/>
              <w:ind w:left="0" w:firstLine="0"/>
              <w:jc w:val="center"/>
              <w:rPr>
                <w:b/>
                <w:color w:val="auto"/>
              </w:rPr>
            </w:pPr>
            <w:r w:rsidRPr="00BA213E">
              <w:rPr>
                <w:b/>
                <w:color w:val="auto"/>
              </w:rPr>
              <w:t>50%</w:t>
            </w:r>
          </w:p>
        </w:tc>
        <w:tc>
          <w:tcPr>
            <w:tcW w:w="1359" w:type="dxa"/>
            <w:shd w:val="clear" w:color="auto" w:fill="5B9BD5" w:themeFill="accent1"/>
          </w:tcPr>
          <w:p w14:paraId="6DAF96D0" w14:textId="77777777" w:rsidR="00E61D71" w:rsidRPr="00BA213E" w:rsidRDefault="00E61D71" w:rsidP="00FE0B3E">
            <w:pPr>
              <w:spacing w:after="157" w:line="360" w:lineRule="auto"/>
              <w:ind w:left="0" w:firstLine="0"/>
              <w:jc w:val="center"/>
              <w:rPr>
                <w:b/>
                <w:color w:val="auto"/>
              </w:rPr>
            </w:pPr>
            <w:r w:rsidRPr="00BA213E">
              <w:rPr>
                <w:b/>
                <w:color w:val="auto"/>
              </w:rPr>
              <w:t>&lt; 50%</w:t>
            </w:r>
          </w:p>
        </w:tc>
        <w:tc>
          <w:tcPr>
            <w:tcW w:w="1328" w:type="dxa"/>
            <w:shd w:val="clear" w:color="auto" w:fill="ED7D31" w:themeFill="accent2"/>
          </w:tcPr>
          <w:p w14:paraId="04398893" w14:textId="77777777" w:rsidR="00E61D71" w:rsidRPr="00BA213E" w:rsidRDefault="00E61D71" w:rsidP="00FE0B3E">
            <w:pPr>
              <w:spacing w:after="157" w:line="360" w:lineRule="auto"/>
              <w:ind w:left="0" w:firstLine="0"/>
              <w:jc w:val="center"/>
              <w:rPr>
                <w:b/>
                <w:color w:val="auto"/>
              </w:rPr>
            </w:pPr>
            <w:r w:rsidRPr="00BA213E">
              <w:rPr>
                <w:b/>
                <w:color w:val="auto"/>
              </w:rPr>
              <w:t>&lt;25%</w:t>
            </w:r>
          </w:p>
        </w:tc>
        <w:tc>
          <w:tcPr>
            <w:tcW w:w="1214" w:type="dxa"/>
            <w:shd w:val="clear" w:color="auto" w:fill="D0CECE" w:themeFill="background2" w:themeFillShade="E6"/>
          </w:tcPr>
          <w:p w14:paraId="2E392F2B" w14:textId="7D6AA0F9" w:rsidR="00E61D71" w:rsidRPr="00BA213E" w:rsidRDefault="00E61D71" w:rsidP="003955F5">
            <w:pPr>
              <w:spacing w:after="157" w:line="360" w:lineRule="auto"/>
              <w:ind w:left="0" w:firstLine="0"/>
              <w:jc w:val="center"/>
              <w:rPr>
                <w:b/>
                <w:color w:val="auto"/>
              </w:rPr>
            </w:pPr>
            <w:r w:rsidRPr="00BA213E">
              <w:rPr>
                <w:b/>
                <w:color w:val="auto"/>
              </w:rPr>
              <w:t>50%</w:t>
            </w:r>
          </w:p>
        </w:tc>
        <w:tc>
          <w:tcPr>
            <w:tcW w:w="1215" w:type="dxa"/>
            <w:shd w:val="clear" w:color="auto" w:fill="5B9BD5" w:themeFill="accent1"/>
          </w:tcPr>
          <w:p w14:paraId="62D34E33" w14:textId="77777777" w:rsidR="00E61D71" w:rsidRPr="00BA213E" w:rsidRDefault="00E61D71" w:rsidP="00FE0B3E">
            <w:pPr>
              <w:spacing w:after="157" w:line="360" w:lineRule="auto"/>
              <w:ind w:left="0" w:firstLine="0"/>
              <w:jc w:val="center"/>
              <w:rPr>
                <w:b/>
                <w:color w:val="auto"/>
              </w:rPr>
            </w:pPr>
            <w:r w:rsidRPr="00BA213E">
              <w:rPr>
                <w:b/>
                <w:color w:val="auto"/>
              </w:rPr>
              <w:t>&lt; 50%</w:t>
            </w:r>
          </w:p>
        </w:tc>
        <w:tc>
          <w:tcPr>
            <w:tcW w:w="1217" w:type="dxa"/>
          </w:tcPr>
          <w:p w14:paraId="5F6BE29A" w14:textId="77777777" w:rsidR="00E61D71" w:rsidRPr="00BA213E" w:rsidRDefault="00E61D71" w:rsidP="00FE0B3E">
            <w:pPr>
              <w:spacing w:after="157" w:line="360" w:lineRule="auto"/>
              <w:ind w:left="0" w:firstLine="0"/>
              <w:jc w:val="center"/>
              <w:rPr>
                <w:b/>
                <w:color w:val="auto"/>
              </w:rPr>
            </w:pPr>
            <w:r w:rsidRPr="00BA213E">
              <w:rPr>
                <w:b/>
                <w:color w:val="auto"/>
              </w:rPr>
              <w:t>&lt;25%</w:t>
            </w:r>
          </w:p>
        </w:tc>
      </w:tr>
      <w:tr w:rsidR="00E61D71" w:rsidRPr="009773AB" w14:paraId="554F57F6" w14:textId="77777777" w:rsidTr="00B90D8F">
        <w:trPr>
          <w:trHeight w:hRule="exact" w:val="284"/>
          <w:jc w:val="center"/>
        </w:trPr>
        <w:tc>
          <w:tcPr>
            <w:tcW w:w="10014" w:type="dxa"/>
            <w:gridSpan w:val="7"/>
          </w:tcPr>
          <w:p w14:paraId="7DAC47E7" w14:textId="77777777" w:rsidR="00E61D71" w:rsidRPr="00BA213E" w:rsidRDefault="00E61D71" w:rsidP="00FE0B3E">
            <w:pPr>
              <w:spacing w:after="157" w:line="360" w:lineRule="auto"/>
              <w:ind w:left="0" w:firstLine="0"/>
              <w:rPr>
                <w:b/>
                <w:color w:val="auto"/>
              </w:rPr>
            </w:pPr>
            <w:r w:rsidRPr="00BA213E">
              <w:rPr>
                <w:b/>
                <w:color w:val="auto"/>
              </w:rPr>
              <w:t>Groundnuts</w:t>
            </w:r>
          </w:p>
        </w:tc>
      </w:tr>
      <w:tr w:rsidR="00E61D71" w:rsidRPr="009773AB" w14:paraId="1BC13CF5" w14:textId="77777777" w:rsidTr="00B90D8F">
        <w:trPr>
          <w:trHeight w:hRule="exact" w:val="284"/>
          <w:jc w:val="center"/>
        </w:trPr>
        <w:tc>
          <w:tcPr>
            <w:tcW w:w="2553" w:type="dxa"/>
          </w:tcPr>
          <w:p w14:paraId="5FEE59B3" w14:textId="77777777" w:rsidR="00E61D71" w:rsidRPr="009773AB" w:rsidRDefault="00E61D71" w:rsidP="00FE0B3E">
            <w:pPr>
              <w:spacing w:after="157" w:line="360" w:lineRule="auto"/>
              <w:ind w:left="0" w:firstLine="0"/>
              <w:jc w:val="both"/>
              <w:rPr>
                <w:color w:val="auto"/>
              </w:rPr>
            </w:pPr>
            <w:r w:rsidRPr="009773AB">
              <w:rPr>
                <w:color w:val="auto"/>
              </w:rPr>
              <w:t>Producers</w:t>
            </w:r>
          </w:p>
        </w:tc>
        <w:tc>
          <w:tcPr>
            <w:tcW w:w="1128" w:type="dxa"/>
            <w:shd w:val="clear" w:color="auto" w:fill="D0CECE" w:themeFill="background2" w:themeFillShade="E6"/>
          </w:tcPr>
          <w:p w14:paraId="55F3FFFE" w14:textId="77777777" w:rsidR="00E61D71" w:rsidRPr="009773AB" w:rsidRDefault="00E61D71" w:rsidP="00FE0B3E">
            <w:pPr>
              <w:spacing w:after="157" w:line="360" w:lineRule="auto"/>
              <w:ind w:left="0" w:firstLine="0"/>
              <w:jc w:val="center"/>
              <w:rPr>
                <w:color w:val="auto"/>
              </w:rPr>
            </w:pPr>
            <w:r w:rsidRPr="009773AB">
              <w:rPr>
                <w:color w:val="auto"/>
              </w:rPr>
              <w:t>X</w:t>
            </w:r>
          </w:p>
        </w:tc>
        <w:tc>
          <w:tcPr>
            <w:tcW w:w="1359" w:type="dxa"/>
            <w:shd w:val="clear" w:color="auto" w:fill="5B9BD5" w:themeFill="accent1"/>
          </w:tcPr>
          <w:p w14:paraId="0CB0968F" w14:textId="77777777" w:rsidR="00E61D71" w:rsidRPr="009773AB" w:rsidRDefault="00E61D71" w:rsidP="00FE0B3E">
            <w:pPr>
              <w:spacing w:after="157" w:line="360" w:lineRule="auto"/>
              <w:ind w:left="0" w:firstLine="0"/>
              <w:jc w:val="center"/>
              <w:rPr>
                <w:color w:val="auto"/>
              </w:rPr>
            </w:pPr>
          </w:p>
        </w:tc>
        <w:tc>
          <w:tcPr>
            <w:tcW w:w="1328" w:type="dxa"/>
            <w:shd w:val="clear" w:color="auto" w:fill="ED7D31" w:themeFill="accent2"/>
          </w:tcPr>
          <w:p w14:paraId="6D8C92E9" w14:textId="77777777" w:rsidR="00E61D71" w:rsidRPr="009773AB" w:rsidRDefault="00E61D71" w:rsidP="00FE0B3E">
            <w:pPr>
              <w:spacing w:after="157" w:line="360" w:lineRule="auto"/>
              <w:ind w:left="0" w:firstLine="0"/>
              <w:jc w:val="center"/>
              <w:rPr>
                <w:color w:val="auto"/>
              </w:rPr>
            </w:pPr>
          </w:p>
        </w:tc>
        <w:tc>
          <w:tcPr>
            <w:tcW w:w="1214" w:type="dxa"/>
            <w:shd w:val="clear" w:color="auto" w:fill="D0CECE" w:themeFill="background2" w:themeFillShade="E6"/>
          </w:tcPr>
          <w:p w14:paraId="44ECDFDE" w14:textId="77777777" w:rsidR="00E61D71" w:rsidRPr="009773AB" w:rsidRDefault="00E61D71" w:rsidP="00FE0B3E">
            <w:pPr>
              <w:spacing w:after="157" w:line="360" w:lineRule="auto"/>
              <w:ind w:left="0" w:firstLine="0"/>
              <w:jc w:val="center"/>
              <w:rPr>
                <w:color w:val="auto"/>
              </w:rPr>
            </w:pPr>
            <w:r w:rsidRPr="009773AB">
              <w:rPr>
                <w:color w:val="auto"/>
              </w:rPr>
              <w:t>X</w:t>
            </w:r>
          </w:p>
        </w:tc>
        <w:tc>
          <w:tcPr>
            <w:tcW w:w="1215" w:type="dxa"/>
            <w:shd w:val="clear" w:color="auto" w:fill="5B9BD5" w:themeFill="accent1"/>
          </w:tcPr>
          <w:p w14:paraId="4E551ECA" w14:textId="77777777" w:rsidR="00E61D71" w:rsidRPr="009773AB" w:rsidRDefault="00E61D71" w:rsidP="00FE0B3E">
            <w:pPr>
              <w:spacing w:after="157" w:line="360" w:lineRule="auto"/>
              <w:ind w:left="0" w:firstLine="0"/>
              <w:jc w:val="center"/>
              <w:rPr>
                <w:color w:val="auto"/>
              </w:rPr>
            </w:pPr>
          </w:p>
        </w:tc>
        <w:tc>
          <w:tcPr>
            <w:tcW w:w="1217" w:type="dxa"/>
            <w:shd w:val="clear" w:color="auto" w:fill="ED7D31" w:themeFill="accent2"/>
          </w:tcPr>
          <w:p w14:paraId="328B0EBD" w14:textId="77777777" w:rsidR="00E61D71" w:rsidRPr="009773AB" w:rsidRDefault="00E61D71" w:rsidP="00FE0B3E">
            <w:pPr>
              <w:spacing w:after="157" w:line="360" w:lineRule="auto"/>
              <w:ind w:left="0" w:firstLine="0"/>
              <w:jc w:val="center"/>
              <w:rPr>
                <w:color w:val="auto"/>
              </w:rPr>
            </w:pPr>
          </w:p>
        </w:tc>
      </w:tr>
      <w:tr w:rsidR="00E61D71" w:rsidRPr="009773AB" w14:paraId="065729E4" w14:textId="77777777" w:rsidTr="00B90D8F">
        <w:trPr>
          <w:trHeight w:hRule="exact" w:val="284"/>
          <w:jc w:val="center"/>
        </w:trPr>
        <w:tc>
          <w:tcPr>
            <w:tcW w:w="2553" w:type="dxa"/>
          </w:tcPr>
          <w:p w14:paraId="5F4C43BE" w14:textId="570D9098" w:rsidR="00E61D71" w:rsidRPr="009773AB" w:rsidRDefault="00E61D71" w:rsidP="00FE0B3E">
            <w:pPr>
              <w:spacing w:after="157" w:line="360" w:lineRule="auto"/>
              <w:ind w:left="0" w:firstLine="0"/>
              <w:jc w:val="both"/>
              <w:rPr>
                <w:color w:val="auto"/>
              </w:rPr>
            </w:pPr>
            <w:r w:rsidRPr="009773AB">
              <w:rPr>
                <w:color w:val="auto"/>
              </w:rPr>
              <w:t>Processors</w:t>
            </w:r>
            <w:r w:rsidR="003955F5">
              <w:rPr>
                <w:color w:val="auto"/>
              </w:rPr>
              <w:t xml:space="preserve"> (Household)</w:t>
            </w:r>
          </w:p>
        </w:tc>
        <w:tc>
          <w:tcPr>
            <w:tcW w:w="1128" w:type="dxa"/>
            <w:shd w:val="clear" w:color="auto" w:fill="D0CECE" w:themeFill="background2" w:themeFillShade="E6"/>
          </w:tcPr>
          <w:p w14:paraId="0BCFA778" w14:textId="77777777" w:rsidR="00E61D71" w:rsidRPr="009773AB" w:rsidRDefault="00E61D71" w:rsidP="00FE0B3E">
            <w:pPr>
              <w:spacing w:after="157" w:line="360" w:lineRule="auto"/>
              <w:ind w:left="0" w:firstLine="0"/>
              <w:jc w:val="center"/>
              <w:rPr>
                <w:color w:val="auto"/>
              </w:rPr>
            </w:pPr>
            <w:r w:rsidRPr="009773AB">
              <w:rPr>
                <w:color w:val="auto"/>
              </w:rPr>
              <w:t>X</w:t>
            </w:r>
          </w:p>
        </w:tc>
        <w:tc>
          <w:tcPr>
            <w:tcW w:w="1359" w:type="dxa"/>
            <w:shd w:val="clear" w:color="auto" w:fill="5B9BD5" w:themeFill="accent1"/>
          </w:tcPr>
          <w:p w14:paraId="38585919" w14:textId="77777777" w:rsidR="00E61D71" w:rsidRPr="009773AB" w:rsidRDefault="00E61D71" w:rsidP="00FE0B3E">
            <w:pPr>
              <w:spacing w:after="157" w:line="360" w:lineRule="auto"/>
              <w:ind w:left="0" w:firstLine="0"/>
              <w:jc w:val="center"/>
              <w:rPr>
                <w:color w:val="auto"/>
              </w:rPr>
            </w:pPr>
          </w:p>
        </w:tc>
        <w:tc>
          <w:tcPr>
            <w:tcW w:w="1328" w:type="dxa"/>
            <w:shd w:val="clear" w:color="auto" w:fill="ED7D31" w:themeFill="accent2"/>
          </w:tcPr>
          <w:p w14:paraId="305ED7E5" w14:textId="77777777" w:rsidR="00E61D71" w:rsidRPr="009773AB" w:rsidRDefault="00E61D71" w:rsidP="00FE0B3E">
            <w:pPr>
              <w:spacing w:after="157" w:line="360" w:lineRule="auto"/>
              <w:ind w:left="0" w:firstLine="0"/>
              <w:jc w:val="center"/>
              <w:rPr>
                <w:color w:val="auto"/>
              </w:rPr>
            </w:pPr>
          </w:p>
        </w:tc>
        <w:tc>
          <w:tcPr>
            <w:tcW w:w="1214" w:type="dxa"/>
            <w:shd w:val="clear" w:color="auto" w:fill="D0CECE" w:themeFill="background2" w:themeFillShade="E6"/>
          </w:tcPr>
          <w:p w14:paraId="418D2E6E" w14:textId="77777777" w:rsidR="00E61D71" w:rsidRPr="009773AB" w:rsidRDefault="00E61D71" w:rsidP="00FE0B3E">
            <w:pPr>
              <w:spacing w:after="157" w:line="360" w:lineRule="auto"/>
              <w:ind w:left="0" w:firstLine="0"/>
              <w:jc w:val="center"/>
              <w:rPr>
                <w:color w:val="auto"/>
              </w:rPr>
            </w:pPr>
            <w:r w:rsidRPr="009773AB">
              <w:rPr>
                <w:color w:val="auto"/>
              </w:rPr>
              <w:t>X</w:t>
            </w:r>
          </w:p>
        </w:tc>
        <w:tc>
          <w:tcPr>
            <w:tcW w:w="1215" w:type="dxa"/>
            <w:shd w:val="clear" w:color="auto" w:fill="5B9BD5" w:themeFill="accent1"/>
          </w:tcPr>
          <w:p w14:paraId="603AFB50" w14:textId="77777777" w:rsidR="00E61D71" w:rsidRPr="009773AB" w:rsidRDefault="00E61D71" w:rsidP="00FE0B3E">
            <w:pPr>
              <w:spacing w:after="157" w:line="360" w:lineRule="auto"/>
              <w:ind w:left="0" w:firstLine="0"/>
              <w:jc w:val="center"/>
              <w:rPr>
                <w:color w:val="auto"/>
              </w:rPr>
            </w:pPr>
          </w:p>
        </w:tc>
        <w:tc>
          <w:tcPr>
            <w:tcW w:w="1217" w:type="dxa"/>
            <w:shd w:val="clear" w:color="auto" w:fill="ED7D31" w:themeFill="accent2"/>
          </w:tcPr>
          <w:p w14:paraId="51C82598" w14:textId="77777777" w:rsidR="00E61D71" w:rsidRPr="009773AB" w:rsidRDefault="00E61D71" w:rsidP="00FE0B3E">
            <w:pPr>
              <w:spacing w:after="157" w:line="360" w:lineRule="auto"/>
              <w:ind w:left="0" w:firstLine="0"/>
              <w:jc w:val="center"/>
              <w:rPr>
                <w:color w:val="auto"/>
              </w:rPr>
            </w:pPr>
          </w:p>
        </w:tc>
      </w:tr>
      <w:tr w:rsidR="003955F5" w:rsidRPr="009773AB" w14:paraId="720C25A8" w14:textId="77777777" w:rsidTr="00B90D8F">
        <w:trPr>
          <w:trHeight w:hRule="exact" w:val="284"/>
          <w:jc w:val="center"/>
        </w:trPr>
        <w:tc>
          <w:tcPr>
            <w:tcW w:w="2553" w:type="dxa"/>
          </w:tcPr>
          <w:p w14:paraId="2D7CFAF5" w14:textId="32D407FD" w:rsidR="003955F5" w:rsidRPr="009773AB" w:rsidRDefault="003955F5" w:rsidP="00FE0B3E">
            <w:pPr>
              <w:spacing w:after="157" w:line="360" w:lineRule="auto"/>
              <w:ind w:left="0" w:firstLine="0"/>
              <w:jc w:val="both"/>
              <w:rPr>
                <w:color w:val="auto"/>
              </w:rPr>
            </w:pPr>
            <w:r>
              <w:rPr>
                <w:color w:val="auto"/>
              </w:rPr>
              <w:t>Processors (Market)</w:t>
            </w:r>
          </w:p>
        </w:tc>
        <w:tc>
          <w:tcPr>
            <w:tcW w:w="1128" w:type="dxa"/>
            <w:shd w:val="clear" w:color="auto" w:fill="D0CECE" w:themeFill="background2" w:themeFillShade="E6"/>
          </w:tcPr>
          <w:p w14:paraId="2EB45E46" w14:textId="77777777" w:rsidR="003955F5" w:rsidRPr="009773AB" w:rsidRDefault="003955F5" w:rsidP="00FE0B3E">
            <w:pPr>
              <w:spacing w:after="157" w:line="360" w:lineRule="auto"/>
              <w:ind w:left="0" w:firstLine="0"/>
              <w:jc w:val="center"/>
              <w:rPr>
                <w:color w:val="auto"/>
              </w:rPr>
            </w:pPr>
          </w:p>
        </w:tc>
        <w:tc>
          <w:tcPr>
            <w:tcW w:w="1359" w:type="dxa"/>
            <w:shd w:val="clear" w:color="auto" w:fill="5B9BD5" w:themeFill="accent1"/>
          </w:tcPr>
          <w:p w14:paraId="58917207" w14:textId="77777777" w:rsidR="003955F5" w:rsidRPr="009773AB" w:rsidRDefault="003955F5" w:rsidP="00FE0B3E">
            <w:pPr>
              <w:spacing w:after="157" w:line="360" w:lineRule="auto"/>
              <w:ind w:left="0" w:firstLine="0"/>
              <w:jc w:val="center"/>
              <w:rPr>
                <w:color w:val="auto"/>
              </w:rPr>
            </w:pPr>
          </w:p>
        </w:tc>
        <w:tc>
          <w:tcPr>
            <w:tcW w:w="1328" w:type="dxa"/>
            <w:shd w:val="clear" w:color="auto" w:fill="ED7D31" w:themeFill="accent2"/>
          </w:tcPr>
          <w:p w14:paraId="5ED06523" w14:textId="0B433281" w:rsidR="003955F5" w:rsidRPr="009773AB" w:rsidRDefault="003955F5" w:rsidP="00FE0B3E">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7BC4CD72" w14:textId="77777777" w:rsidR="003955F5" w:rsidRPr="009773AB" w:rsidRDefault="003955F5" w:rsidP="00FE0B3E">
            <w:pPr>
              <w:spacing w:after="157" w:line="360" w:lineRule="auto"/>
              <w:ind w:left="0" w:firstLine="0"/>
              <w:jc w:val="center"/>
              <w:rPr>
                <w:color w:val="auto"/>
              </w:rPr>
            </w:pPr>
          </w:p>
        </w:tc>
        <w:tc>
          <w:tcPr>
            <w:tcW w:w="1215" w:type="dxa"/>
            <w:shd w:val="clear" w:color="auto" w:fill="5B9BD5" w:themeFill="accent1"/>
          </w:tcPr>
          <w:p w14:paraId="480A9788" w14:textId="77777777" w:rsidR="003955F5" w:rsidRPr="009773AB" w:rsidRDefault="003955F5" w:rsidP="00FE0B3E">
            <w:pPr>
              <w:spacing w:after="157" w:line="360" w:lineRule="auto"/>
              <w:ind w:left="0" w:firstLine="0"/>
              <w:jc w:val="center"/>
              <w:rPr>
                <w:color w:val="auto"/>
              </w:rPr>
            </w:pPr>
          </w:p>
        </w:tc>
        <w:tc>
          <w:tcPr>
            <w:tcW w:w="1217" w:type="dxa"/>
            <w:shd w:val="clear" w:color="auto" w:fill="ED7D31" w:themeFill="accent2"/>
          </w:tcPr>
          <w:p w14:paraId="596425D4" w14:textId="2BF53E2E" w:rsidR="003955F5" w:rsidRPr="009773AB" w:rsidRDefault="003955F5" w:rsidP="00FE0B3E">
            <w:pPr>
              <w:spacing w:after="157" w:line="360" w:lineRule="auto"/>
              <w:ind w:left="0" w:firstLine="0"/>
              <w:jc w:val="center"/>
              <w:rPr>
                <w:color w:val="auto"/>
              </w:rPr>
            </w:pPr>
            <w:r>
              <w:rPr>
                <w:color w:val="auto"/>
              </w:rPr>
              <w:t>X</w:t>
            </w:r>
          </w:p>
        </w:tc>
      </w:tr>
      <w:tr w:rsidR="00E61D71" w:rsidRPr="009773AB" w14:paraId="3DA63B91" w14:textId="77777777" w:rsidTr="00B90D8F">
        <w:trPr>
          <w:trHeight w:hRule="exact" w:val="284"/>
          <w:jc w:val="center"/>
        </w:trPr>
        <w:tc>
          <w:tcPr>
            <w:tcW w:w="2553" w:type="dxa"/>
          </w:tcPr>
          <w:p w14:paraId="58EEB1FF" w14:textId="649F8185" w:rsidR="00E61D71" w:rsidRPr="009773AB" w:rsidRDefault="003955F5" w:rsidP="00FE0B3E">
            <w:pPr>
              <w:spacing w:after="157" w:line="360" w:lineRule="auto"/>
              <w:ind w:left="0" w:firstLine="0"/>
              <w:jc w:val="both"/>
              <w:rPr>
                <w:color w:val="auto"/>
              </w:rPr>
            </w:pPr>
            <w:r>
              <w:rPr>
                <w:color w:val="auto"/>
              </w:rPr>
              <w:t>Exporters</w:t>
            </w:r>
          </w:p>
        </w:tc>
        <w:tc>
          <w:tcPr>
            <w:tcW w:w="1128" w:type="dxa"/>
            <w:shd w:val="clear" w:color="auto" w:fill="D0CECE" w:themeFill="background2" w:themeFillShade="E6"/>
          </w:tcPr>
          <w:p w14:paraId="582F56E2" w14:textId="77777777" w:rsidR="00E61D71" w:rsidRPr="009773AB" w:rsidRDefault="00E61D71" w:rsidP="00FE0B3E">
            <w:pPr>
              <w:spacing w:after="157" w:line="360" w:lineRule="auto"/>
              <w:ind w:left="0" w:firstLine="0"/>
              <w:jc w:val="center"/>
              <w:rPr>
                <w:color w:val="auto"/>
              </w:rPr>
            </w:pPr>
            <w:r w:rsidRPr="009773AB">
              <w:rPr>
                <w:color w:val="auto"/>
              </w:rPr>
              <w:t>X</w:t>
            </w:r>
          </w:p>
        </w:tc>
        <w:tc>
          <w:tcPr>
            <w:tcW w:w="1359" w:type="dxa"/>
            <w:shd w:val="clear" w:color="auto" w:fill="5B9BD5" w:themeFill="accent1"/>
          </w:tcPr>
          <w:p w14:paraId="2B24EE60" w14:textId="77777777" w:rsidR="00E61D71" w:rsidRPr="009773AB" w:rsidRDefault="00E61D71" w:rsidP="00FE0B3E">
            <w:pPr>
              <w:spacing w:after="157" w:line="360" w:lineRule="auto"/>
              <w:ind w:left="0" w:firstLine="0"/>
              <w:jc w:val="center"/>
              <w:rPr>
                <w:color w:val="auto"/>
              </w:rPr>
            </w:pPr>
          </w:p>
        </w:tc>
        <w:tc>
          <w:tcPr>
            <w:tcW w:w="1328" w:type="dxa"/>
            <w:shd w:val="clear" w:color="auto" w:fill="ED7D31" w:themeFill="accent2"/>
          </w:tcPr>
          <w:p w14:paraId="42D99D49" w14:textId="77777777" w:rsidR="00E61D71" w:rsidRPr="009773AB" w:rsidRDefault="00E61D71" w:rsidP="00FE0B3E">
            <w:pPr>
              <w:spacing w:after="157" w:line="360" w:lineRule="auto"/>
              <w:ind w:left="0" w:firstLine="0"/>
              <w:jc w:val="center"/>
              <w:rPr>
                <w:color w:val="auto"/>
              </w:rPr>
            </w:pPr>
          </w:p>
        </w:tc>
        <w:tc>
          <w:tcPr>
            <w:tcW w:w="1214" w:type="dxa"/>
            <w:shd w:val="clear" w:color="auto" w:fill="D0CECE" w:themeFill="background2" w:themeFillShade="E6"/>
          </w:tcPr>
          <w:p w14:paraId="3173CD24" w14:textId="77777777" w:rsidR="00E61D71" w:rsidRPr="009773AB" w:rsidRDefault="00E61D71" w:rsidP="00FE0B3E">
            <w:pPr>
              <w:spacing w:after="157" w:line="360" w:lineRule="auto"/>
              <w:ind w:left="0" w:firstLine="0"/>
              <w:jc w:val="center"/>
              <w:rPr>
                <w:color w:val="auto"/>
              </w:rPr>
            </w:pPr>
          </w:p>
        </w:tc>
        <w:tc>
          <w:tcPr>
            <w:tcW w:w="1215" w:type="dxa"/>
            <w:shd w:val="clear" w:color="auto" w:fill="5B9BD5" w:themeFill="accent1"/>
          </w:tcPr>
          <w:p w14:paraId="4291ACD4" w14:textId="77777777" w:rsidR="00E61D71" w:rsidRPr="009773AB" w:rsidRDefault="00E61D71" w:rsidP="00FE0B3E">
            <w:pPr>
              <w:spacing w:after="157" w:line="360" w:lineRule="auto"/>
              <w:ind w:left="0" w:firstLine="0"/>
              <w:jc w:val="center"/>
              <w:rPr>
                <w:color w:val="auto"/>
              </w:rPr>
            </w:pPr>
          </w:p>
        </w:tc>
        <w:tc>
          <w:tcPr>
            <w:tcW w:w="1217" w:type="dxa"/>
            <w:shd w:val="clear" w:color="auto" w:fill="ED7D31" w:themeFill="accent2"/>
          </w:tcPr>
          <w:p w14:paraId="69A0172E" w14:textId="77777777" w:rsidR="00E61D71" w:rsidRPr="009773AB" w:rsidRDefault="00E61D71" w:rsidP="00FE0B3E">
            <w:pPr>
              <w:spacing w:after="157" w:line="360" w:lineRule="auto"/>
              <w:ind w:left="0" w:firstLine="0"/>
              <w:jc w:val="center"/>
              <w:rPr>
                <w:color w:val="auto"/>
              </w:rPr>
            </w:pPr>
          </w:p>
        </w:tc>
      </w:tr>
      <w:tr w:rsidR="003955F5" w:rsidRPr="009773AB" w14:paraId="4547F538" w14:textId="77777777" w:rsidTr="00B90D8F">
        <w:trPr>
          <w:trHeight w:hRule="exact" w:val="284"/>
          <w:jc w:val="center"/>
        </w:trPr>
        <w:tc>
          <w:tcPr>
            <w:tcW w:w="2553" w:type="dxa"/>
          </w:tcPr>
          <w:p w14:paraId="50B3EC1A" w14:textId="0A7E2026" w:rsidR="003955F5" w:rsidRPr="009773AB" w:rsidRDefault="003955F5" w:rsidP="003955F5">
            <w:pPr>
              <w:spacing w:after="157" w:line="360" w:lineRule="auto"/>
              <w:ind w:left="0" w:firstLine="0"/>
              <w:jc w:val="both"/>
              <w:rPr>
                <w:color w:val="auto"/>
              </w:rPr>
            </w:pPr>
            <w:r w:rsidRPr="009773AB">
              <w:rPr>
                <w:color w:val="auto"/>
              </w:rPr>
              <w:t>Formal Traders</w:t>
            </w:r>
          </w:p>
        </w:tc>
        <w:tc>
          <w:tcPr>
            <w:tcW w:w="1128" w:type="dxa"/>
            <w:shd w:val="clear" w:color="auto" w:fill="D0CECE" w:themeFill="background2" w:themeFillShade="E6"/>
          </w:tcPr>
          <w:p w14:paraId="2175846E" w14:textId="77777777" w:rsidR="003955F5" w:rsidRPr="009773AB" w:rsidRDefault="003955F5" w:rsidP="003955F5">
            <w:pPr>
              <w:spacing w:after="157" w:line="360" w:lineRule="auto"/>
              <w:ind w:left="0" w:firstLine="0"/>
              <w:jc w:val="center"/>
              <w:rPr>
                <w:color w:val="auto"/>
              </w:rPr>
            </w:pPr>
          </w:p>
        </w:tc>
        <w:tc>
          <w:tcPr>
            <w:tcW w:w="1359" w:type="dxa"/>
            <w:shd w:val="clear" w:color="auto" w:fill="5B9BD5" w:themeFill="accent1"/>
          </w:tcPr>
          <w:p w14:paraId="3466216A" w14:textId="77777777" w:rsidR="003955F5" w:rsidRPr="009773AB" w:rsidRDefault="003955F5" w:rsidP="003955F5">
            <w:pPr>
              <w:spacing w:after="157" w:line="360" w:lineRule="auto"/>
              <w:ind w:left="0" w:firstLine="0"/>
              <w:jc w:val="center"/>
              <w:rPr>
                <w:color w:val="auto"/>
              </w:rPr>
            </w:pPr>
          </w:p>
        </w:tc>
        <w:tc>
          <w:tcPr>
            <w:tcW w:w="1328" w:type="dxa"/>
            <w:shd w:val="clear" w:color="auto" w:fill="ED7D31" w:themeFill="accent2"/>
          </w:tcPr>
          <w:p w14:paraId="4D1CB4DA" w14:textId="5638ABE6" w:rsidR="003955F5" w:rsidRPr="009773AB" w:rsidRDefault="003955F5" w:rsidP="003955F5">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6152E4C3" w14:textId="77777777" w:rsidR="003955F5" w:rsidRPr="009773AB" w:rsidRDefault="003955F5" w:rsidP="003955F5">
            <w:pPr>
              <w:spacing w:after="157" w:line="360" w:lineRule="auto"/>
              <w:ind w:left="0" w:firstLine="0"/>
              <w:jc w:val="center"/>
              <w:rPr>
                <w:color w:val="auto"/>
              </w:rPr>
            </w:pPr>
          </w:p>
        </w:tc>
        <w:tc>
          <w:tcPr>
            <w:tcW w:w="1215" w:type="dxa"/>
            <w:shd w:val="clear" w:color="auto" w:fill="5B9BD5" w:themeFill="accent1"/>
          </w:tcPr>
          <w:p w14:paraId="441EF750" w14:textId="77777777" w:rsidR="003955F5" w:rsidRPr="009773AB" w:rsidRDefault="003955F5" w:rsidP="003955F5">
            <w:pPr>
              <w:spacing w:after="157" w:line="360" w:lineRule="auto"/>
              <w:ind w:left="0" w:firstLine="0"/>
              <w:jc w:val="center"/>
              <w:rPr>
                <w:color w:val="auto"/>
              </w:rPr>
            </w:pPr>
          </w:p>
        </w:tc>
        <w:tc>
          <w:tcPr>
            <w:tcW w:w="1217" w:type="dxa"/>
            <w:shd w:val="clear" w:color="auto" w:fill="ED7D31" w:themeFill="accent2"/>
          </w:tcPr>
          <w:p w14:paraId="7302962B" w14:textId="6F1BE7A1" w:rsidR="003955F5" w:rsidRPr="009773AB" w:rsidRDefault="003955F5" w:rsidP="003955F5">
            <w:pPr>
              <w:spacing w:after="157" w:line="360" w:lineRule="auto"/>
              <w:ind w:left="0" w:firstLine="0"/>
              <w:jc w:val="center"/>
              <w:rPr>
                <w:color w:val="auto"/>
              </w:rPr>
            </w:pPr>
            <w:r>
              <w:rPr>
                <w:color w:val="auto"/>
              </w:rPr>
              <w:t>X</w:t>
            </w:r>
          </w:p>
        </w:tc>
      </w:tr>
      <w:tr w:rsidR="003955F5" w:rsidRPr="009773AB" w14:paraId="02D73630" w14:textId="77777777" w:rsidTr="00B90D8F">
        <w:trPr>
          <w:trHeight w:hRule="exact" w:val="284"/>
          <w:jc w:val="center"/>
        </w:trPr>
        <w:tc>
          <w:tcPr>
            <w:tcW w:w="2553" w:type="dxa"/>
          </w:tcPr>
          <w:p w14:paraId="2D480D2F" w14:textId="77777777" w:rsidR="003955F5" w:rsidRPr="009773AB" w:rsidRDefault="003955F5" w:rsidP="003955F5">
            <w:pPr>
              <w:spacing w:after="157" w:line="360" w:lineRule="auto"/>
              <w:ind w:left="0" w:firstLine="0"/>
              <w:jc w:val="both"/>
              <w:rPr>
                <w:color w:val="auto"/>
              </w:rPr>
            </w:pPr>
            <w:r w:rsidRPr="009773AB">
              <w:rPr>
                <w:color w:val="auto"/>
              </w:rPr>
              <w:t>Informal Traders</w:t>
            </w:r>
          </w:p>
        </w:tc>
        <w:tc>
          <w:tcPr>
            <w:tcW w:w="1128" w:type="dxa"/>
            <w:shd w:val="clear" w:color="auto" w:fill="D0CECE" w:themeFill="background2" w:themeFillShade="E6"/>
          </w:tcPr>
          <w:p w14:paraId="402E7FF1" w14:textId="1FD5FB71" w:rsidR="003955F5" w:rsidRPr="009773AB" w:rsidRDefault="003955F5" w:rsidP="003955F5">
            <w:pPr>
              <w:spacing w:after="157" w:line="360" w:lineRule="auto"/>
              <w:ind w:left="0" w:firstLine="0"/>
              <w:jc w:val="center"/>
              <w:rPr>
                <w:color w:val="auto"/>
              </w:rPr>
            </w:pPr>
          </w:p>
        </w:tc>
        <w:tc>
          <w:tcPr>
            <w:tcW w:w="1359" w:type="dxa"/>
            <w:shd w:val="clear" w:color="auto" w:fill="5B9BD5" w:themeFill="accent1"/>
          </w:tcPr>
          <w:p w14:paraId="52EF1F69" w14:textId="77777777" w:rsidR="003955F5" w:rsidRPr="009773AB" w:rsidRDefault="003955F5" w:rsidP="003955F5">
            <w:pPr>
              <w:spacing w:after="157" w:line="360" w:lineRule="auto"/>
              <w:ind w:left="0" w:firstLine="0"/>
              <w:jc w:val="center"/>
              <w:rPr>
                <w:color w:val="auto"/>
              </w:rPr>
            </w:pPr>
          </w:p>
        </w:tc>
        <w:tc>
          <w:tcPr>
            <w:tcW w:w="1328" w:type="dxa"/>
            <w:shd w:val="clear" w:color="auto" w:fill="ED7D31" w:themeFill="accent2"/>
          </w:tcPr>
          <w:p w14:paraId="3A94D756" w14:textId="57277590" w:rsidR="003955F5" w:rsidRPr="009773AB" w:rsidRDefault="003955F5" w:rsidP="003955F5">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7B15D010" w14:textId="77777777" w:rsidR="003955F5" w:rsidRPr="009773AB" w:rsidRDefault="003955F5" w:rsidP="003955F5">
            <w:pPr>
              <w:spacing w:after="157" w:line="360" w:lineRule="auto"/>
              <w:ind w:left="0" w:firstLine="0"/>
              <w:jc w:val="center"/>
              <w:rPr>
                <w:color w:val="auto"/>
              </w:rPr>
            </w:pPr>
          </w:p>
        </w:tc>
        <w:tc>
          <w:tcPr>
            <w:tcW w:w="1215" w:type="dxa"/>
            <w:shd w:val="clear" w:color="auto" w:fill="5B9BD5" w:themeFill="accent1"/>
          </w:tcPr>
          <w:p w14:paraId="0EDBDD24" w14:textId="77777777" w:rsidR="003955F5" w:rsidRPr="009773AB" w:rsidRDefault="003955F5" w:rsidP="003955F5">
            <w:pPr>
              <w:spacing w:after="157" w:line="360" w:lineRule="auto"/>
              <w:ind w:left="0" w:firstLine="0"/>
              <w:jc w:val="center"/>
              <w:rPr>
                <w:color w:val="auto"/>
              </w:rPr>
            </w:pPr>
          </w:p>
        </w:tc>
        <w:tc>
          <w:tcPr>
            <w:tcW w:w="1217" w:type="dxa"/>
            <w:shd w:val="clear" w:color="auto" w:fill="ED7D31" w:themeFill="accent2"/>
          </w:tcPr>
          <w:p w14:paraId="23BF7423" w14:textId="1C91F391" w:rsidR="003955F5" w:rsidRPr="009773AB" w:rsidRDefault="003955F5" w:rsidP="003955F5">
            <w:pPr>
              <w:spacing w:after="157" w:line="360" w:lineRule="auto"/>
              <w:ind w:left="0" w:firstLine="0"/>
              <w:jc w:val="center"/>
              <w:rPr>
                <w:color w:val="auto"/>
              </w:rPr>
            </w:pPr>
            <w:r>
              <w:rPr>
                <w:color w:val="auto"/>
              </w:rPr>
              <w:t>X</w:t>
            </w:r>
          </w:p>
        </w:tc>
      </w:tr>
      <w:tr w:rsidR="003955F5" w:rsidRPr="009773AB" w14:paraId="4DAA7910" w14:textId="77777777" w:rsidTr="00B90D8F">
        <w:trPr>
          <w:trHeight w:hRule="exact" w:val="284"/>
          <w:jc w:val="center"/>
        </w:trPr>
        <w:tc>
          <w:tcPr>
            <w:tcW w:w="2553" w:type="dxa"/>
          </w:tcPr>
          <w:p w14:paraId="15469041" w14:textId="77777777" w:rsidR="003955F5" w:rsidRPr="009773AB" w:rsidRDefault="003955F5" w:rsidP="003955F5">
            <w:pPr>
              <w:spacing w:after="157" w:line="360" w:lineRule="auto"/>
              <w:ind w:left="0" w:firstLine="0"/>
              <w:jc w:val="both"/>
              <w:rPr>
                <w:color w:val="auto"/>
              </w:rPr>
            </w:pPr>
            <w:r w:rsidRPr="009773AB">
              <w:rPr>
                <w:color w:val="auto"/>
              </w:rPr>
              <w:t>Consumers</w:t>
            </w:r>
          </w:p>
        </w:tc>
        <w:tc>
          <w:tcPr>
            <w:tcW w:w="1128" w:type="dxa"/>
            <w:shd w:val="clear" w:color="auto" w:fill="D0CECE" w:themeFill="background2" w:themeFillShade="E6"/>
          </w:tcPr>
          <w:p w14:paraId="4F18C5A9" w14:textId="77777777" w:rsidR="003955F5" w:rsidRPr="009773AB" w:rsidRDefault="003955F5" w:rsidP="003955F5">
            <w:pPr>
              <w:spacing w:after="157" w:line="360" w:lineRule="auto"/>
              <w:ind w:left="0" w:firstLine="0"/>
              <w:jc w:val="center"/>
              <w:rPr>
                <w:color w:val="auto"/>
              </w:rPr>
            </w:pPr>
          </w:p>
        </w:tc>
        <w:tc>
          <w:tcPr>
            <w:tcW w:w="1359" w:type="dxa"/>
            <w:shd w:val="clear" w:color="auto" w:fill="5B9BD5" w:themeFill="accent1"/>
          </w:tcPr>
          <w:p w14:paraId="0463D025" w14:textId="77777777" w:rsidR="003955F5" w:rsidRPr="009773AB" w:rsidRDefault="003955F5" w:rsidP="003955F5">
            <w:pPr>
              <w:spacing w:after="157" w:line="360" w:lineRule="auto"/>
              <w:ind w:left="0" w:firstLine="0"/>
              <w:jc w:val="center"/>
              <w:rPr>
                <w:color w:val="auto"/>
              </w:rPr>
            </w:pPr>
          </w:p>
        </w:tc>
        <w:tc>
          <w:tcPr>
            <w:tcW w:w="1328" w:type="dxa"/>
            <w:shd w:val="clear" w:color="auto" w:fill="ED7D31" w:themeFill="accent2"/>
          </w:tcPr>
          <w:p w14:paraId="0434D690" w14:textId="77777777" w:rsidR="003955F5" w:rsidRPr="009773AB" w:rsidRDefault="003955F5" w:rsidP="003955F5">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7A1811D9" w14:textId="77777777" w:rsidR="003955F5" w:rsidRPr="009773AB" w:rsidRDefault="003955F5" w:rsidP="003955F5">
            <w:pPr>
              <w:spacing w:after="157" w:line="360" w:lineRule="auto"/>
              <w:ind w:left="0" w:firstLine="0"/>
              <w:jc w:val="center"/>
              <w:rPr>
                <w:color w:val="auto"/>
              </w:rPr>
            </w:pPr>
          </w:p>
        </w:tc>
        <w:tc>
          <w:tcPr>
            <w:tcW w:w="1215" w:type="dxa"/>
            <w:shd w:val="clear" w:color="auto" w:fill="5B9BD5" w:themeFill="accent1"/>
          </w:tcPr>
          <w:p w14:paraId="0871B33D" w14:textId="77777777" w:rsidR="003955F5" w:rsidRPr="009773AB" w:rsidRDefault="003955F5" w:rsidP="003955F5">
            <w:pPr>
              <w:spacing w:after="157" w:line="360" w:lineRule="auto"/>
              <w:ind w:left="0" w:firstLine="0"/>
              <w:jc w:val="center"/>
              <w:rPr>
                <w:color w:val="auto"/>
              </w:rPr>
            </w:pPr>
          </w:p>
        </w:tc>
        <w:tc>
          <w:tcPr>
            <w:tcW w:w="1217" w:type="dxa"/>
            <w:shd w:val="clear" w:color="auto" w:fill="ED7D31" w:themeFill="accent2"/>
          </w:tcPr>
          <w:p w14:paraId="0CF5D2F3" w14:textId="77777777" w:rsidR="003955F5" w:rsidRPr="009773AB" w:rsidRDefault="003955F5" w:rsidP="003955F5">
            <w:pPr>
              <w:spacing w:after="157" w:line="360" w:lineRule="auto"/>
              <w:ind w:left="0" w:firstLine="0"/>
              <w:jc w:val="center"/>
              <w:rPr>
                <w:color w:val="auto"/>
              </w:rPr>
            </w:pPr>
            <w:r w:rsidRPr="009773AB">
              <w:rPr>
                <w:color w:val="auto"/>
              </w:rPr>
              <w:t>X</w:t>
            </w:r>
          </w:p>
        </w:tc>
      </w:tr>
      <w:tr w:rsidR="003955F5" w:rsidRPr="009773AB" w14:paraId="4EC20D27" w14:textId="77777777" w:rsidTr="00B90D8F">
        <w:trPr>
          <w:trHeight w:hRule="exact" w:val="284"/>
          <w:jc w:val="center"/>
        </w:trPr>
        <w:tc>
          <w:tcPr>
            <w:tcW w:w="10014" w:type="dxa"/>
            <w:gridSpan w:val="7"/>
          </w:tcPr>
          <w:p w14:paraId="1FF32AEA" w14:textId="77777777" w:rsidR="003955F5" w:rsidRPr="00BA213E" w:rsidRDefault="003955F5" w:rsidP="003955F5">
            <w:pPr>
              <w:spacing w:after="157" w:line="360" w:lineRule="auto"/>
              <w:ind w:left="0" w:firstLine="0"/>
              <w:rPr>
                <w:b/>
                <w:color w:val="auto"/>
              </w:rPr>
            </w:pPr>
            <w:r w:rsidRPr="00BA213E">
              <w:rPr>
                <w:b/>
                <w:color w:val="auto"/>
              </w:rPr>
              <w:t>Maize</w:t>
            </w:r>
          </w:p>
        </w:tc>
      </w:tr>
      <w:tr w:rsidR="00E63884" w:rsidRPr="009773AB" w14:paraId="5737C674" w14:textId="77777777" w:rsidTr="00B90D8F">
        <w:trPr>
          <w:trHeight w:hRule="exact" w:val="284"/>
          <w:jc w:val="center"/>
        </w:trPr>
        <w:tc>
          <w:tcPr>
            <w:tcW w:w="2553" w:type="dxa"/>
          </w:tcPr>
          <w:p w14:paraId="057F6936" w14:textId="77777777" w:rsidR="00E63884" w:rsidRPr="009773AB" w:rsidRDefault="00E63884" w:rsidP="00E63884">
            <w:pPr>
              <w:spacing w:after="157" w:line="360" w:lineRule="auto"/>
              <w:ind w:left="0" w:firstLine="0"/>
              <w:jc w:val="both"/>
              <w:rPr>
                <w:color w:val="auto"/>
              </w:rPr>
            </w:pPr>
            <w:r w:rsidRPr="009773AB">
              <w:rPr>
                <w:color w:val="auto"/>
              </w:rPr>
              <w:t>Producers</w:t>
            </w:r>
          </w:p>
        </w:tc>
        <w:tc>
          <w:tcPr>
            <w:tcW w:w="1128" w:type="dxa"/>
            <w:shd w:val="clear" w:color="auto" w:fill="D0CECE" w:themeFill="background2" w:themeFillShade="E6"/>
          </w:tcPr>
          <w:p w14:paraId="03F40082"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42C41E12"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78C25DC5"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53944879"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7AAD382C" w14:textId="7C6C82DD"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6250F79A" w14:textId="14D3E4EB"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7309FAC6" w14:textId="77777777" w:rsidTr="00B90D8F">
        <w:trPr>
          <w:trHeight w:hRule="exact" w:val="284"/>
          <w:jc w:val="center"/>
        </w:trPr>
        <w:tc>
          <w:tcPr>
            <w:tcW w:w="2553" w:type="dxa"/>
          </w:tcPr>
          <w:p w14:paraId="11C5457B" w14:textId="45AE2FFD" w:rsidR="00E63884" w:rsidRPr="009773AB" w:rsidRDefault="00E63884" w:rsidP="00E63884">
            <w:pPr>
              <w:spacing w:after="157" w:line="360" w:lineRule="auto"/>
              <w:ind w:left="0" w:firstLine="0"/>
              <w:jc w:val="both"/>
              <w:rPr>
                <w:color w:val="auto"/>
              </w:rPr>
            </w:pPr>
            <w:r w:rsidRPr="009773AB">
              <w:rPr>
                <w:color w:val="auto"/>
              </w:rPr>
              <w:t>Processors</w:t>
            </w:r>
            <w:r>
              <w:rPr>
                <w:color w:val="auto"/>
              </w:rPr>
              <w:t xml:space="preserve"> (Household)</w:t>
            </w:r>
          </w:p>
        </w:tc>
        <w:tc>
          <w:tcPr>
            <w:tcW w:w="1128" w:type="dxa"/>
            <w:shd w:val="clear" w:color="auto" w:fill="D0CECE" w:themeFill="background2" w:themeFillShade="E6"/>
          </w:tcPr>
          <w:p w14:paraId="58074464"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29D79FD3"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501B1FEB"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3BA4520A"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29EC110B" w14:textId="69E5610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60568A71" w14:textId="2001B5DC"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0A13C8B2" w14:textId="77777777" w:rsidTr="00B90D8F">
        <w:trPr>
          <w:trHeight w:hRule="exact" w:val="284"/>
          <w:jc w:val="center"/>
        </w:trPr>
        <w:tc>
          <w:tcPr>
            <w:tcW w:w="2553" w:type="dxa"/>
          </w:tcPr>
          <w:p w14:paraId="34071B79" w14:textId="6181B8A6" w:rsidR="00E63884" w:rsidRDefault="00E63884" w:rsidP="00E63884">
            <w:pPr>
              <w:spacing w:after="157" w:line="360" w:lineRule="auto"/>
              <w:ind w:left="0" w:firstLine="0"/>
              <w:jc w:val="both"/>
              <w:rPr>
                <w:color w:val="auto"/>
              </w:rPr>
            </w:pPr>
            <w:r>
              <w:rPr>
                <w:color w:val="auto"/>
              </w:rPr>
              <w:t>Processors (Market)</w:t>
            </w:r>
          </w:p>
          <w:p w14:paraId="458118C3" w14:textId="77777777" w:rsidR="00E63884" w:rsidRPr="009773AB" w:rsidRDefault="00E63884" w:rsidP="00E63884">
            <w:pPr>
              <w:spacing w:after="157" w:line="360" w:lineRule="auto"/>
              <w:ind w:left="0" w:firstLine="0"/>
              <w:jc w:val="both"/>
              <w:rPr>
                <w:color w:val="auto"/>
              </w:rPr>
            </w:pPr>
          </w:p>
        </w:tc>
        <w:tc>
          <w:tcPr>
            <w:tcW w:w="1128" w:type="dxa"/>
            <w:shd w:val="clear" w:color="auto" w:fill="D0CECE" w:themeFill="background2" w:themeFillShade="E6"/>
          </w:tcPr>
          <w:p w14:paraId="049FD6D2"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0300F1F0"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564E27C7" w14:textId="48959BA9" w:rsidR="00E63884" w:rsidRPr="009773AB" w:rsidRDefault="00E63884" w:rsidP="00E63884">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0F58E1DA"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5FDD2988" w14:textId="1FC8366B"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428F2F3B" w14:textId="7CAA6C05" w:rsidR="00E63884" w:rsidRPr="009773AB" w:rsidRDefault="00E63884" w:rsidP="00E63884">
            <w:pPr>
              <w:spacing w:after="157" w:line="360" w:lineRule="auto"/>
              <w:ind w:left="0" w:firstLine="0"/>
              <w:jc w:val="center"/>
              <w:rPr>
                <w:color w:val="auto"/>
              </w:rPr>
            </w:pPr>
            <w:r>
              <w:rPr>
                <w:color w:val="auto"/>
              </w:rPr>
              <w:t>X</w:t>
            </w:r>
          </w:p>
        </w:tc>
      </w:tr>
      <w:tr w:rsidR="00E63884" w:rsidRPr="009773AB" w14:paraId="066F9A4A" w14:textId="77777777" w:rsidTr="00B90D8F">
        <w:trPr>
          <w:trHeight w:hRule="exact" w:val="284"/>
          <w:jc w:val="center"/>
        </w:trPr>
        <w:tc>
          <w:tcPr>
            <w:tcW w:w="2553" w:type="dxa"/>
          </w:tcPr>
          <w:p w14:paraId="60E66315" w14:textId="77777777" w:rsidR="00E63884" w:rsidRPr="009773AB" w:rsidRDefault="00E63884" w:rsidP="00E63884">
            <w:pPr>
              <w:spacing w:after="157" w:line="360" w:lineRule="auto"/>
              <w:ind w:left="0" w:firstLine="0"/>
              <w:jc w:val="both"/>
              <w:rPr>
                <w:color w:val="auto"/>
              </w:rPr>
            </w:pPr>
            <w:r w:rsidRPr="009773AB">
              <w:rPr>
                <w:color w:val="auto"/>
              </w:rPr>
              <w:t>Formal Traders</w:t>
            </w:r>
          </w:p>
        </w:tc>
        <w:tc>
          <w:tcPr>
            <w:tcW w:w="1128" w:type="dxa"/>
            <w:shd w:val="clear" w:color="auto" w:fill="D0CECE" w:themeFill="background2" w:themeFillShade="E6"/>
          </w:tcPr>
          <w:p w14:paraId="0173FEDD"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5A051CC8"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112DFCDA"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2C49EE1F"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2B40D435" w14:textId="5EDC576C"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7119D0E3" w14:textId="30FEF760"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305395F0" w14:textId="77777777" w:rsidTr="00B90D8F">
        <w:trPr>
          <w:trHeight w:hRule="exact" w:val="284"/>
          <w:jc w:val="center"/>
        </w:trPr>
        <w:tc>
          <w:tcPr>
            <w:tcW w:w="2553" w:type="dxa"/>
          </w:tcPr>
          <w:p w14:paraId="027ECC3F" w14:textId="77777777" w:rsidR="00E63884" w:rsidRPr="009773AB" w:rsidRDefault="00E63884" w:rsidP="00E63884">
            <w:pPr>
              <w:spacing w:after="157" w:line="360" w:lineRule="auto"/>
              <w:ind w:left="0" w:firstLine="0"/>
              <w:jc w:val="both"/>
              <w:rPr>
                <w:color w:val="auto"/>
              </w:rPr>
            </w:pPr>
            <w:r w:rsidRPr="009773AB">
              <w:rPr>
                <w:color w:val="auto"/>
              </w:rPr>
              <w:t>Informal Traders</w:t>
            </w:r>
          </w:p>
        </w:tc>
        <w:tc>
          <w:tcPr>
            <w:tcW w:w="1128" w:type="dxa"/>
            <w:shd w:val="clear" w:color="auto" w:fill="D0CECE" w:themeFill="background2" w:themeFillShade="E6"/>
          </w:tcPr>
          <w:p w14:paraId="556E4BAD"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035A0DEF"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30D54B63"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01B9EC56"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54AC4AC6" w14:textId="4612BF0C"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70BD7C39" w14:textId="4064E595"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6159F36F" w14:textId="77777777" w:rsidTr="00B90D8F">
        <w:trPr>
          <w:trHeight w:hRule="exact" w:val="284"/>
          <w:jc w:val="center"/>
        </w:trPr>
        <w:tc>
          <w:tcPr>
            <w:tcW w:w="2553" w:type="dxa"/>
          </w:tcPr>
          <w:p w14:paraId="11ABDC27" w14:textId="77777777" w:rsidR="00E63884" w:rsidRPr="009773AB" w:rsidRDefault="00E63884" w:rsidP="00E63884">
            <w:pPr>
              <w:spacing w:after="157" w:line="360" w:lineRule="auto"/>
              <w:ind w:left="0" w:firstLine="0"/>
              <w:jc w:val="both"/>
              <w:rPr>
                <w:color w:val="auto"/>
              </w:rPr>
            </w:pPr>
            <w:r w:rsidRPr="009773AB">
              <w:rPr>
                <w:color w:val="auto"/>
              </w:rPr>
              <w:t>Consumers</w:t>
            </w:r>
          </w:p>
        </w:tc>
        <w:tc>
          <w:tcPr>
            <w:tcW w:w="1128" w:type="dxa"/>
            <w:shd w:val="clear" w:color="auto" w:fill="D0CECE" w:themeFill="background2" w:themeFillShade="E6"/>
          </w:tcPr>
          <w:p w14:paraId="09296DFB" w14:textId="77777777" w:rsidR="00E63884" w:rsidRPr="009773AB" w:rsidRDefault="00E63884" w:rsidP="00E63884">
            <w:pPr>
              <w:spacing w:after="157" w:line="360" w:lineRule="auto"/>
              <w:ind w:left="0" w:firstLine="0"/>
              <w:jc w:val="center"/>
              <w:rPr>
                <w:color w:val="auto"/>
              </w:rPr>
            </w:pPr>
          </w:p>
        </w:tc>
        <w:tc>
          <w:tcPr>
            <w:tcW w:w="1359" w:type="dxa"/>
            <w:shd w:val="clear" w:color="auto" w:fill="5B9BD5" w:themeFill="accent1"/>
          </w:tcPr>
          <w:p w14:paraId="156CF74D" w14:textId="77777777" w:rsidR="00E63884" w:rsidRPr="009773AB" w:rsidRDefault="00E63884" w:rsidP="00E63884">
            <w:pPr>
              <w:spacing w:after="157" w:line="360" w:lineRule="auto"/>
              <w:ind w:left="0" w:firstLine="0"/>
              <w:jc w:val="center"/>
              <w:rPr>
                <w:color w:val="auto"/>
              </w:rPr>
            </w:pPr>
          </w:p>
        </w:tc>
        <w:tc>
          <w:tcPr>
            <w:tcW w:w="1328" w:type="dxa"/>
            <w:shd w:val="clear" w:color="auto" w:fill="ED7D31" w:themeFill="accent2"/>
          </w:tcPr>
          <w:p w14:paraId="1057F288"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19000FAB"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3265D8CE"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083B2DD5" w14:textId="77777777"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7A9F6F45" w14:textId="77777777" w:rsidTr="00B90D8F">
        <w:trPr>
          <w:trHeight w:hRule="exact" w:val="284"/>
          <w:jc w:val="center"/>
        </w:trPr>
        <w:tc>
          <w:tcPr>
            <w:tcW w:w="10014" w:type="dxa"/>
            <w:gridSpan w:val="7"/>
          </w:tcPr>
          <w:p w14:paraId="52DCC5DC" w14:textId="77777777" w:rsidR="00E63884" w:rsidRPr="00BA213E" w:rsidRDefault="00E63884" w:rsidP="00E63884">
            <w:pPr>
              <w:spacing w:after="157" w:line="360" w:lineRule="auto"/>
              <w:ind w:left="0" w:firstLine="0"/>
              <w:rPr>
                <w:b/>
                <w:color w:val="auto"/>
              </w:rPr>
            </w:pPr>
            <w:r w:rsidRPr="00BA213E">
              <w:rPr>
                <w:b/>
                <w:color w:val="auto"/>
              </w:rPr>
              <w:lastRenderedPageBreak/>
              <w:t>Rice</w:t>
            </w:r>
          </w:p>
        </w:tc>
      </w:tr>
      <w:tr w:rsidR="00E63884" w:rsidRPr="009773AB" w14:paraId="5D6261A7" w14:textId="77777777" w:rsidTr="00B90D8F">
        <w:trPr>
          <w:trHeight w:hRule="exact" w:val="284"/>
          <w:jc w:val="center"/>
        </w:trPr>
        <w:tc>
          <w:tcPr>
            <w:tcW w:w="2553" w:type="dxa"/>
          </w:tcPr>
          <w:p w14:paraId="517CAEEA" w14:textId="77777777" w:rsidR="00E63884" w:rsidRPr="009773AB" w:rsidRDefault="00E63884" w:rsidP="00E63884">
            <w:pPr>
              <w:spacing w:after="157" w:line="360" w:lineRule="auto"/>
              <w:ind w:left="0" w:firstLine="0"/>
              <w:jc w:val="both"/>
              <w:rPr>
                <w:color w:val="auto"/>
              </w:rPr>
            </w:pPr>
            <w:r w:rsidRPr="009773AB">
              <w:rPr>
                <w:color w:val="auto"/>
              </w:rPr>
              <w:t>Producers</w:t>
            </w:r>
          </w:p>
        </w:tc>
        <w:tc>
          <w:tcPr>
            <w:tcW w:w="1128" w:type="dxa"/>
            <w:shd w:val="clear" w:color="auto" w:fill="D0CECE" w:themeFill="background2" w:themeFillShade="E6"/>
          </w:tcPr>
          <w:p w14:paraId="374F22CC"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71F6B324"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20434D6A"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50FD8D2F"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2A1E2E53" w14:textId="11D61CAB"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62E3EF5B" w14:textId="2891A1B2"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6161EB72" w14:textId="77777777" w:rsidTr="00B90D8F">
        <w:trPr>
          <w:trHeight w:hRule="exact" w:val="284"/>
          <w:jc w:val="center"/>
        </w:trPr>
        <w:tc>
          <w:tcPr>
            <w:tcW w:w="2553" w:type="dxa"/>
          </w:tcPr>
          <w:p w14:paraId="219DF94D" w14:textId="7B7AA929" w:rsidR="00E63884" w:rsidRPr="009773AB" w:rsidRDefault="00E63884" w:rsidP="00E63884">
            <w:pPr>
              <w:spacing w:after="157" w:line="360" w:lineRule="auto"/>
              <w:ind w:left="0" w:firstLine="0"/>
              <w:jc w:val="both"/>
              <w:rPr>
                <w:color w:val="auto"/>
              </w:rPr>
            </w:pPr>
            <w:r>
              <w:rPr>
                <w:color w:val="auto"/>
              </w:rPr>
              <w:t>Processors (Household)</w:t>
            </w:r>
          </w:p>
        </w:tc>
        <w:tc>
          <w:tcPr>
            <w:tcW w:w="1128" w:type="dxa"/>
            <w:shd w:val="clear" w:color="auto" w:fill="D0CECE" w:themeFill="background2" w:themeFillShade="E6"/>
          </w:tcPr>
          <w:p w14:paraId="086ACCC7" w14:textId="77777777" w:rsidR="00E63884" w:rsidRDefault="00E63884" w:rsidP="00E63884">
            <w:pPr>
              <w:spacing w:after="157" w:line="360" w:lineRule="auto"/>
              <w:ind w:left="0" w:firstLine="0"/>
              <w:jc w:val="both"/>
              <w:rPr>
                <w:color w:val="auto"/>
              </w:rPr>
            </w:pPr>
          </w:p>
          <w:p w14:paraId="4471D464" w14:textId="77777777" w:rsidR="00FF4B65" w:rsidRPr="009773AB" w:rsidRDefault="00FF4B65" w:rsidP="00E63884">
            <w:pPr>
              <w:spacing w:after="157" w:line="360" w:lineRule="auto"/>
              <w:ind w:left="0" w:firstLine="0"/>
              <w:jc w:val="both"/>
              <w:rPr>
                <w:color w:val="auto"/>
              </w:rPr>
            </w:pPr>
          </w:p>
        </w:tc>
        <w:tc>
          <w:tcPr>
            <w:tcW w:w="1359" w:type="dxa"/>
            <w:shd w:val="clear" w:color="auto" w:fill="5B9BD5" w:themeFill="accent1"/>
          </w:tcPr>
          <w:p w14:paraId="5DEDDCDD"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093EF0A4" w14:textId="62CD24DC" w:rsidR="00E63884" w:rsidRPr="009773AB" w:rsidRDefault="00E63884" w:rsidP="00E63884">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4EA27BB3"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4A705DBD" w14:textId="5E167555"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53C90216" w14:textId="75F4F8B6" w:rsidR="00E63884" w:rsidRPr="009773AB" w:rsidRDefault="00E63884" w:rsidP="00E63884">
            <w:pPr>
              <w:spacing w:after="157" w:line="360" w:lineRule="auto"/>
              <w:ind w:left="0" w:firstLine="0"/>
              <w:jc w:val="center"/>
              <w:rPr>
                <w:color w:val="auto"/>
              </w:rPr>
            </w:pPr>
            <w:r>
              <w:rPr>
                <w:color w:val="auto"/>
              </w:rPr>
              <w:t>X</w:t>
            </w:r>
          </w:p>
        </w:tc>
      </w:tr>
      <w:tr w:rsidR="00E63884" w:rsidRPr="009773AB" w14:paraId="51E0A987" w14:textId="77777777" w:rsidTr="00B90D8F">
        <w:trPr>
          <w:trHeight w:hRule="exact" w:val="284"/>
          <w:jc w:val="center"/>
        </w:trPr>
        <w:tc>
          <w:tcPr>
            <w:tcW w:w="2553" w:type="dxa"/>
          </w:tcPr>
          <w:p w14:paraId="22493D94" w14:textId="2BB89231" w:rsidR="00E63884" w:rsidRPr="009773AB" w:rsidRDefault="00E63884" w:rsidP="00E63884">
            <w:pPr>
              <w:spacing w:after="157" w:line="360" w:lineRule="auto"/>
              <w:ind w:left="0" w:firstLine="0"/>
              <w:jc w:val="both"/>
              <w:rPr>
                <w:color w:val="auto"/>
              </w:rPr>
            </w:pPr>
            <w:r w:rsidRPr="009773AB">
              <w:rPr>
                <w:color w:val="auto"/>
              </w:rPr>
              <w:t>Processors</w:t>
            </w:r>
            <w:r>
              <w:rPr>
                <w:color w:val="auto"/>
              </w:rPr>
              <w:t xml:space="preserve"> (Market)</w:t>
            </w:r>
          </w:p>
        </w:tc>
        <w:tc>
          <w:tcPr>
            <w:tcW w:w="1128" w:type="dxa"/>
            <w:shd w:val="clear" w:color="auto" w:fill="D0CECE" w:themeFill="background2" w:themeFillShade="E6"/>
          </w:tcPr>
          <w:p w14:paraId="6ECC1E8B"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27BCBB26"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0E647600"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3F0FA5A2"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56520434" w14:textId="1EA013F9"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23781C41" w14:textId="51F65028"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2314FA7B" w14:textId="77777777" w:rsidTr="00B90D8F">
        <w:trPr>
          <w:trHeight w:hRule="exact" w:val="284"/>
          <w:jc w:val="center"/>
        </w:trPr>
        <w:tc>
          <w:tcPr>
            <w:tcW w:w="2553" w:type="dxa"/>
          </w:tcPr>
          <w:p w14:paraId="32D4778F" w14:textId="77777777" w:rsidR="00E63884" w:rsidRPr="009773AB" w:rsidRDefault="00E63884" w:rsidP="00E63884">
            <w:pPr>
              <w:spacing w:after="157" w:line="360" w:lineRule="auto"/>
              <w:ind w:left="0" w:firstLine="0"/>
              <w:jc w:val="both"/>
              <w:rPr>
                <w:color w:val="auto"/>
              </w:rPr>
            </w:pPr>
            <w:r w:rsidRPr="009773AB">
              <w:rPr>
                <w:color w:val="auto"/>
              </w:rPr>
              <w:t>Formal Traders</w:t>
            </w:r>
          </w:p>
        </w:tc>
        <w:tc>
          <w:tcPr>
            <w:tcW w:w="1128" w:type="dxa"/>
            <w:shd w:val="clear" w:color="auto" w:fill="D0CECE" w:themeFill="background2" w:themeFillShade="E6"/>
          </w:tcPr>
          <w:p w14:paraId="1BFB88C9" w14:textId="77777777" w:rsidR="00E63884" w:rsidRPr="009773AB" w:rsidRDefault="00E63884" w:rsidP="00E63884">
            <w:pPr>
              <w:spacing w:after="157" w:line="360" w:lineRule="auto"/>
              <w:ind w:left="0" w:firstLine="0"/>
              <w:jc w:val="both"/>
              <w:rPr>
                <w:color w:val="auto"/>
              </w:rPr>
            </w:pPr>
          </w:p>
        </w:tc>
        <w:tc>
          <w:tcPr>
            <w:tcW w:w="1359" w:type="dxa"/>
            <w:shd w:val="clear" w:color="auto" w:fill="5B9BD5" w:themeFill="accent1"/>
          </w:tcPr>
          <w:p w14:paraId="1BBB46B6"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7A9476BA"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2C9BA9C5"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6ACCA921" w14:textId="7E2B05FA"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48814A87" w14:textId="716DFA0D"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29355B86" w14:textId="77777777" w:rsidTr="00B90D8F">
        <w:trPr>
          <w:trHeight w:hRule="exact" w:val="284"/>
          <w:jc w:val="center"/>
        </w:trPr>
        <w:tc>
          <w:tcPr>
            <w:tcW w:w="2553" w:type="dxa"/>
          </w:tcPr>
          <w:p w14:paraId="76DA0790" w14:textId="77777777" w:rsidR="00E63884" w:rsidRPr="009773AB" w:rsidRDefault="00E63884" w:rsidP="00E63884">
            <w:pPr>
              <w:spacing w:after="157" w:line="360" w:lineRule="auto"/>
              <w:ind w:left="0" w:firstLine="0"/>
              <w:jc w:val="both"/>
              <w:rPr>
                <w:color w:val="auto"/>
              </w:rPr>
            </w:pPr>
            <w:r w:rsidRPr="009773AB">
              <w:rPr>
                <w:color w:val="auto"/>
              </w:rPr>
              <w:t>Informal Traders</w:t>
            </w:r>
          </w:p>
        </w:tc>
        <w:tc>
          <w:tcPr>
            <w:tcW w:w="1128" w:type="dxa"/>
            <w:shd w:val="clear" w:color="auto" w:fill="D0CECE" w:themeFill="background2" w:themeFillShade="E6"/>
          </w:tcPr>
          <w:p w14:paraId="043E9B41" w14:textId="77777777" w:rsidR="00E63884" w:rsidRDefault="00E63884" w:rsidP="00E63884">
            <w:pPr>
              <w:spacing w:after="157" w:line="360" w:lineRule="auto"/>
              <w:ind w:left="0" w:firstLine="0"/>
              <w:jc w:val="both"/>
              <w:rPr>
                <w:color w:val="auto"/>
              </w:rPr>
            </w:pPr>
          </w:p>
          <w:p w14:paraId="25611913" w14:textId="77777777" w:rsidR="00FF4B65" w:rsidRPr="009773AB" w:rsidRDefault="00FF4B65" w:rsidP="00E63884">
            <w:pPr>
              <w:spacing w:after="157" w:line="360" w:lineRule="auto"/>
              <w:ind w:left="0" w:firstLine="0"/>
              <w:jc w:val="both"/>
              <w:rPr>
                <w:color w:val="auto"/>
              </w:rPr>
            </w:pPr>
          </w:p>
        </w:tc>
        <w:tc>
          <w:tcPr>
            <w:tcW w:w="1359" w:type="dxa"/>
            <w:shd w:val="clear" w:color="auto" w:fill="5B9BD5" w:themeFill="accent1"/>
          </w:tcPr>
          <w:p w14:paraId="190BA7D3" w14:textId="77777777" w:rsidR="00E63884" w:rsidRPr="009773AB" w:rsidRDefault="00E63884" w:rsidP="00E63884">
            <w:pPr>
              <w:spacing w:after="157" w:line="360" w:lineRule="auto"/>
              <w:ind w:left="0" w:firstLine="0"/>
              <w:jc w:val="both"/>
              <w:rPr>
                <w:color w:val="auto"/>
              </w:rPr>
            </w:pPr>
          </w:p>
        </w:tc>
        <w:tc>
          <w:tcPr>
            <w:tcW w:w="1328" w:type="dxa"/>
            <w:shd w:val="clear" w:color="auto" w:fill="ED7D31" w:themeFill="accent2"/>
          </w:tcPr>
          <w:p w14:paraId="6F320CC9"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6E2171A1"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14111C03"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6F6C4F91" w14:textId="231EB7AA" w:rsidR="00E63884" w:rsidRPr="009773AB" w:rsidRDefault="00E63884" w:rsidP="00E63884">
            <w:pPr>
              <w:spacing w:after="157" w:line="360" w:lineRule="auto"/>
              <w:ind w:left="0" w:firstLine="0"/>
              <w:jc w:val="center"/>
              <w:rPr>
                <w:color w:val="auto"/>
              </w:rPr>
            </w:pPr>
            <w:r>
              <w:rPr>
                <w:color w:val="auto"/>
              </w:rPr>
              <w:t>X</w:t>
            </w:r>
          </w:p>
        </w:tc>
      </w:tr>
      <w:tr w:rsidR="00E63884" w:rsidRPr="009773AB" w14:paraId="3C38817D" w14:textId="77777777" w:rsidTr="00B90D8F">
        <w:trPr>
          <w:trHeight w:hRule="exact" w:val="284"/>
          <w:jc w:val="center"/>
        </w:trPr>
        <w:tc>
          <w:tcPr>
            <w:tcW w:w="2553" w:type="dxa"/>
          </w:tcPr>
          <w:p w14:paraId="7F04E23E" w14:textId="77777777" w:rsidR="00E63884" w:rsidRPr="009773AB" w:rsidRDefault="00E63884" w:rsidP="00E63884">
            <w:pPr>
              <w:spacing w:after="157" w:line="360" w:lineRule="auto"/>
              <w:ind w:left="0" w:firstLine="0"/>
              <w:jc w:val="both"/>
              <w:rPr>
                <w:color w:val="auto"/>
              </w:rPr>
            </w:pPr>
            <w:r w:rsidRPr="009773AB">
              <w:rPr>
                <w:color w:val="auto"/>
              </w:rPr>
              <w:t>Consumers</w:t>
            </w:r>
          </w:p>
        </w:tc>
        <w:tc>
          <w:tcPr>
            <w:tcW w:w="1128" w:type="dxa"/>
            <w:shd w:val="clear" w:color="auto" w:fill="D0CECE" w:themeFill="background2" w:themeFillShade="E6"/>
          </w:tcPr>
          <w:p w14:paraId="7968580F" w14:textId="77777777" w:rsidR="00E63884" w:rsidRPr="009773AB" w:rsidRDefault="00E63884" w:rsidP="00E63884">
            <w:pPr>
              <w:spacing w:after="157" w:line="360" w:lineRule="auto"/>
              <w:ind w:left="0" w:firstLine="0"/>
              <w:jc w:val="center"/>
              <w:rPr>
                <w:color w:val="auto"/>
              </w:rPr>
            </w:pPr>
          </w:p>
        </w:tc>
        <w:tc>
          <w:tcPr>
            <w:tcW w:w="1359" w:type="dxa"/>
            <w:shd w:val="clear" w:color="auto" w:fill="5B9BD5" w:themeFill="accent1"/>
          </w:tcPr>
          <w:p w14:paraId="33073B40" w14:textId="77777777" w:rsidR="00E63884" w:rsidRPr="009773AB" w:rsidRDefault="00E63884" w:rsidP="00E63884">
            <w:pPr>
              <w:spacing w:after="157" w:line="360" w:lineRule="auto"/>
              <w:ind w:left="0" w:firstLine="0"/>
              <w:jc w:val="center"/>
              <w:rPr>
                <w:color w:val="auto"/>
              </w:rPr>
            </w:pPr>
          </w:p>
        </w:tc>
        <w:tc>
          <w:tcPr>
            <w:tcW w:w="1328" w:type="dxa"/>
            <w:shd w:val="clear" w:color="auto" w:fill="ED7D31" w:themeFill="accent2"/>
          </w:tcPr>
          <w:p w14:paraId="3778CD35" w14:textId="77777777" w:rsidR="00E63884" w:rsidRPr="009773AB" w:rsidRDefault="00E63884" w:rsidP="00E63884">
            <w:pPr>
              <w:spacing w:after="157" w:line="360" w:lineRule="auto"/>
              <w:ind w:left="0" w:firstLine="0"/>
              <w:jc w:val="center"/>
              <w:rPr>
                <w:color w:val="auto"/>
              </w:rPr>
            </w:pPr>
            <w:r w:rsidRPr="009773AB">
              <w:rPr>
                <w:color w:val="auto"/>
              </w:rPr>
              <w:t>X</w:t>
            </w:r>
          </w:p>
        </w:tc>
        <w:tc>
          <w:tcPr>
            <w:tcW w:w="1214" w:type="dxa"/>
            <w:shd w:val="clear" w:color="auto" w:fill="D0CECE" w:themeFill="background2" w:themeFillShade="E6"/>
          </w:tcPr>
          <w:p w14:paraId="3065449E"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38063D7C"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6271A0F3" w14:textId="77777777" w:rsidR="00E63884" w:rsidRPr="009773AB" w:rsidRDefault="00E63884" w:rsidP="00E63884">
            <w:pPr>
              <w:spacing w:after="157" w:line="360" w:lineRule="auto"/>
              <w:ind w:left="0" w:firstLine="0"/>
              <w:jc w:val="center"/>
              <w:rPr>
                <w:color w:val="auto"/>
              </w:rPr>
            </w:pPr>
            <w:r w:rsidRPr="009773AB">
              <w:rPr>
                <w:color w:val="auto"/>
              </w:rPr>
              <w:t>X</w:t>
            </w:r>
          </w:p>
        </w:tc>
      </w:tr>
      <w:tr w:rsidR="00E63884" w:rsidRPr="009773AB" w14:paraId="64CC8545" w14:textId="77777777" w:rsidTr="00B90D8F">
        <w:trPr>
          <w:trHeight w:hRule="exact" w:val="284"/>
          <w:jc w:val="center"/>
        </w:trPr>
        <w:tc>
          <w:tcPr>
            <w:tcW w:w="2553" w:type="dxa"/>
          </w:tcPr>
          <w:p w14:paraId="26C0FE59" w14:textId="77777777" w:rsidR="00E63884" w:rsidRPr="009773AB" w:rsidRDefault="00E63884" w:rsidP="00E63884">
            <w:pPr>
              <w:spacing w:after="157" w:line="360" w:lineRule="auto"/>
              <w:ind w:left="0" w:firstLine="0"/>
              <w:jc w:val="both"/>
              <w:rPr>
                <w:color w:val="auto"/>
              </w:rPr>
            </w:pPr>
          </w:p>
        </w:tc>
        <w:tc>
          <w:tcPr>
            <w:tcW w:w="1128" w:type="dxa"/>
            <w:shd w:val="clear" w:color="auto" w:fill="D0CECE" w:themeFill="background2" w:themeFillShade="E6"/>
          </w:tcPr>
          <w:p w14:paraId="54EA6623" w14:textId="77777777" w:rsidR="00E63884" w:rsidRPr="009773AB" w:rsidRDefault="00E63884" w:rsidP="00E63884">
            <w:pPr>
              <w:spacing w:after="157" w:line="360" w:lineRule="auto"/>
              <w:ind w:left="0" w:firstLine="0"/>
              <w:jc w:val="center"/>
              <w:rPr>
                <w:color w:val="auto"/>
              </w:rPr>
            </w:pPr>
          </w:p>
        </w:tc>
        <w:tc>
          <w:tcPr>
            <w:tcW w:w="1359" w:type="dxa"/>
            <w:shd w:val="clear" w:color="auto" w:fill="5B9BD5" w:themeFill="accent1"/>
          </w:tcPr>
          <w:p w14:paraId="3F5D2355" w14:textId="77777777" w:rsidR="00E63884" w:rsidRPr="009773AB" w:rsidRDefault="00E63884" w:rsidP="00E63884">
            <w:pPr>
              <w:spacing w:after="157" w:line="360" w:lineRule="auto"/>
              <w:ind w:left="0" w:firstLine="0"/>
              <w:jc w:val="center"/>
              <w:rPr>
                <w:color w:val="auto"/>
              </w:rPr>
            </w:pPr>
          </w:p>
        </w:tc>
        <w:tc>
          <w:tcPr>
            <w:tcW w:w="1328" w:type="dxa"/>
            <w:shd w:val="clear" w:color="auto" w:fill="ED7D31" w:themeFill="accent2"/>
          </w:tcPr>
          <w:p w14:paraId="73214CD1" w14:textId="77777777" w:rsidR="00E63884" w:rsidRPr="009773AB" w:rsidRDefault="00E63884" w:rsidP="00E63884">
            <w:pPr>
              <w:spacing w:after="157" w:line="360" w:lineRule="auto"/>
              <w:ind w:left="0" w:firstLine="0"/>
              <w:jc w:val="center"/>
              <w:rPr>
                <w:color w:val="auto"/>
              </w:rPr>
            </w:pPr>
          </w:p>
        </w:tc>
        <w:tc>
          <w:tcPr>
            <w:tcW w:w="1214" w:type="dxa"/>
            <w:shd w:val="clear" w:color="auto" w:fill="D0CECE" w:themeFill="background2" w:themeFillShade="E6"/>
          </w:tcPr>
          <w:p w14:paraId="5F8CDF11"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3A5673CE"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21A57D81" w14:textId="77777777" w:rsidR="00E63884" w:rsidRPr="009773AB" w:rsidRDefault="00E63884" w:rsidP="00E63884">
            <w:pPr>
              <w:spacing w:after="157" w:line="360" w:lineRule="auto"/>
              <w:ind w:left="0" w:firstLine="0"/>
              <w:jc w:val="center"/>
              <w:rPr>
                <w:color w:val="auto"/>
              </w:rPr>
            </w:pPr>
          </w:p>
        </w:tc>
      </w:tr>
      <w:tr w:rsidR="006942A7" w:rsidRPr="009773AB" w14:paraId="4C591B5A" w14:textId="77777777" w:rsidTr="00B90D8F">
        <w:trPr>
          <w:trHeight w:hRule="exact" w:val="284"/>
          <w:jc w:val="center"/>
        </w:trPr>
        <w:tc>
          <w:tcPr>
            <w:tcW w:w="2553" w:type="dxa"/>
          </w:tcPr>
          <w:p w14:paraId="471F7E20" w14:textId="117B3340" w:rsidR="006942A7" w:rsidRPr="009773AB" w:rsidRDefault="006942A7" w:rsidP="00E63884">
            <w:pPr>
              <w:spacing w:after="157" w:line="360" w:lineRule="auto"/>
              <w:ind w:left="0" w:firstLine="0"/>
              <w:jc w:val="both"/>
              <w:rPr>
                <w:color w:val="auto"/>
              </w:rPr>
            </w:pPr>
            <w:r>
              <w:rPr>
                <w:color w:val="auto"/>
              </w:rPr>
              <w:t>Transporters</w:t>
            </w:r>
          </w:p>
        </w:tc>
        <w:tc>
          <w:tcPr>
            <w:tcW w:w="1128" w:type="dxa"/>
            <w:shd w:val="clear" w:color="auto" w:fill="D0CECE" w:themeFill="background2" w:themeFillShade="E6"/>
          </w:tcPr>
          <w:p w14:paraId="1E365FDB" w14:textId="77777777" w:rsidR="006942A7" w:rsidRPr="009773AB" w:rsidRDefault="006942A7" w:rsidP="00E63884">
            <w:pPr>
              <w:spacing w:after="157" w:line="360" w:lineRule="auto"/>
              <w:ind w:left="0" w:firstLine="0"/>
              <w:jc w:val="center"/>
              <w:rPr>
                <w:color w:val="auto"/>
              </w:rPr>
            </w:pPr>
          </w:p>
        </w:tc>
        <w:tc>
          <w:tcPr>
            <w:tcW w:w="1359" w:type="dxa"/>
            <w:shd w:val="clear" w:color="auto" w:fill="5B9BD5" w:themeFill="accent1"/>
          </w:tcPr>
          <w:p w14:paraId="270810F4" w14:textId="77777777" w:rsidR="006942A7" w:rsidRPr="009773AB" w:rsidRDefault="006942A7" w:rsidP="00E63884">
            <w:pPr>
              <w:spacing w:after="157" w:line="360" w:lineRule="auto"/>
              <w:ind w:left="0" w:firstLine="0"/>
              <w:jc w:val="center"/>
              <w:rPr>
                <w:color w:val="auto"/>
              </w:rPr>
            </w:pPr>
          </w:p>
        </w:tc>
        <w:tc>
          <w:tcPr>
            <w:tcW w:w="1328" w:type="dxa"/>
            <w:shd w:val="clear" w:color="auto" w:fill="ED7D31" w:themeFill="accent2"/>
          </w:tcPr>
          <w:p w14:paraId="7B7F238C" w14:textId="3E69D2C6" w:rsidR="006942A7" w:rsidRPr="009773AB" w:rsidRDefault="006942A7" w:rsidP="00E63884">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5783B9EE" w14:textId="77777777" w:rsidR="006942A7" w:rsidRPr="009773AB" w:rsidRDefault="006942A7" w:rsidP="00E63884">
            <w:pPr>
              <w:spacing w:after="157" w:line="360" w:lineRule="auto"/>
              <w:ind w:left="0" w:firstLine="0"/>
              <w:jc w:val="center"/>
              <w:rPr>
                <w:color w:val="auto"/>
              </w:rPr>
            </w:pPr>
          </w:p>
        </w:tc>
        <w:tc>
          <w:tcPr>
            <w:tcW w:w="1215" w:type="dxa"/>
            <w:shd w:val="clear" w:color="auto" w:fill="5B9BD5" w:themeFill="accent1"/>
          </w:tcPr>
          <w:p w14:paraId="7380B3E7" w14:textId="77777777" w:rsidR="006942A7" w:rsidRPr="009773AB" w:rsidRDefault="006942A7" w:rsidP="00E63884">
            <w:pPr>
              <w:spacing w:after="157" w:line="360" w:lineRule="auto"/>
              <w:ind w:left="0" w:firstLine="0"/>
              <w:jc w:val="center"/>
              <w:rPr>
                <w:color w:val="auto"/>
              </w:rPr>
            </w:pPr>
          </w:p>
        </w:tc>
        <w:tc>
          <w:tcPr>
            <w:tcW w:w="1217" w:type="dxa"/>
            <w:shd w:val="clear" w:color="auto" w:fill="ED7D31" w:themeFill="accent2"/>
          </w:tcPr>
          <w:p w14:paraId="2B8299F5" w14:textId="7CC7DC6E" w:rsidR="006942A7" w:rsidRPr="009773AB" w:rsidRDefault="006942A7" w:rsidP="00E63884">
            <w:pPr>
              <w:spacing w:after="157" w:line="360" w:lineRule="auto"/>
              <w:ind w:left="0" w:firstLine="0"/>
              <w:jc w:val="center"/>
              <w:rPr>
                <w:color w:val="auto"/>
              </w:rPr>
            </w:pPr>
            <w:r>
              <w:rPr>
                <w:color w:val="auto"/>
              </w:rPr>
              <w:t>X</w:t>
            </w:r>
          </w:p>
        </w:tc>
      </w:tr>
      <w:tr w:rsidR="006942A7" w:rsidRPr="009773AB" w14:paraId="453C512D" w14:textId="77777777" w:rsidTr="00B90D8F">
        <w:trPr>
          <w:trHeight w:hRule="exact" w:val="284"/>
          <w:jc w:val="center"/>
        </w:trPr>
        <w:tc>
          <w:tcPr>
            <w:tcW w:w="2553" w:type="dxa"/>
          </w:tcPr>
          <w:p w14:paraId="3329CA0C" w14:textId="77777777" w:rsidR="006942A7" w:rsidRDefault="006942A7" w:rsidP="00E63884">
            <w:pPr>
              <w:spacing w:after="157" w:line="360" w:lineRule="auto"/>
              <w:ind w:left="0" w:firstLine="0"/>
              <w:jc w:val="both"/>
              <w:rPr>
                <w:color w:val="auto"/>
              </w:rPr>
            </w:pPr>
          </w:p>
        </w:tc>
        <w:tc>
          <w:tcPr>
            <w:tcW w:w="1128" w:type="dxa"/>
            <w:shd w:val="clear" w:color="auto" w:fill="D0CECE" w:themeFill="background2" w:themeFillShade="E6"/>
          </w:tcPr>
          <w:p w14:paraId="6538EEF2" w14:textId="77777777" w:rsidR="006942A7" w:rsidRPr="009773AB" w:rsidRDefault="006942A7" w:rsidP="00E63884">
            <w:pPr>
              <w:spacing w:after="157" w:line="360" w:lineRule="auto"/>
              <w:ind w:left="0" w:firstLine="0"/>
              <w:jc w:val="center"/>
              <w:rPr>
                <w:color w:val="auto"/>
              </w:rPr>
            </w:pPr>
          </w:p>
        </w:tc>
        <w:tc>
          <w:tcPr>
            <w:tcW w:w="1359" w:type="dxa"/>
            <w:shd w:val="clear" w:color="auto" w:fill="5B9BD5" w:themeFill="accent1"/>
          </w:tcPr>
          <w:p w14:paraId="5433A9C8" w14:textId="77777777" w:rsidR="006942A7" w:rsidRPr="009773AB" w:rsidRDefault="006942A7" w:rsidP="00E63884">
            <w:pPr>
              <w:spacing w:after="157" w:line="360" w:lineRule="auto"/>
              <w:ind w:left="0" w:firstLine="0"/>
              <w:jc w:val="center"/>
              <w:rPr>
                <w:color w:val="auto"/>
              </w:rPr>
            </w:pPr>
          </w:p>
        </w:tc>
        <w:tc>
          <w:tcPr>
            <w:tcW w:w="1328" w:type="dxa"/>
            <w:shd w:val="clear" w:color="auto" w:fill="ED7D31" w:themeFill="accent2"/>
          </w:tcPr>
          <w:p w14:paraId="5D053EC3" w14:textId="77777777" w:rsidR="006942A7" w:rsidRDefault="006942A7" w:rsidP="00E63884">
            <w:pPr>
              <w:spacing w:after="157" w:line="360" w:lineRule="auto"/>
              <w:ind w:left="0" w:firstLine="0"/>
              <w:jc w:val="center"/>
              <w:rPr>
                <w:color w:val="auto"/>
              </w:rPr>
            </w:pPr>
          </w:p>
        </w:tc>
        <w:tc>
          <w:tcPr>
            <w:tcW w:w="1214" w:type="dxa"/>
            <w:shd w:val="clear" w:color="auto" w:fill="D0CECE" w:themeFill="background2" w:themeFillShade="E6"/>
          </w:tcPr>
          <w:p w14:paraId="2D45A844" w14:textId="77777777" w:rsidR="006942A7" w:rsidRPr="009773AB" w:rsidRDefault="006942A7" w:rsidP="00E63884">
            <w:pPr>
              <w:spacing w:after="157" w:line="360" w:lineRule="auto"/>
              <w:ind w:left="0" w:firstLine="0"/>
              <w:jc w:val="center"/>
              <w:rPr>
                <w:color w:val="auto"/>
              </w:rPr>
            </w:pPr>
          </w:p>
        </w:tc>
        <w:tc>
          <w:tcPr>
            <w:tcW w:w="1215" w:type="dxa"/>
            <w:shd w:val="clear" w:color="auto" w:fill="5B9BD5" w:themeFill="accent1"/>
          </w:tcPr>
          <w:p w14:paraId="645501FB" w14:textId="77777777" w:rsidR="006942A7" w:rsidRPr="009773AB" w:rsidRDefault="006942A7" w:rsidP="00E63884">
            <w:pPr>
              <w:spacing w:after="157" w:line="360" w:lineRule="auto"/>
              <w:ind w:left="0" w:firstLine="0"/>
              <w:jc w:val="center"/>
              <w:rPr>
                <w:color w:val="auto"/>
              </w:rPr>
            </w:pPr>
          </w:p>
        </w:tc>
        <w:tc>
          <w:tcPr>
            <w:tcW w:w="1217" w:type="dxa"/>
            <w:shd w:val="clear" w:color="auto" w:fill="ED7D31" w:themeFill="accent2"/>
          </w:tcPr>
          <w:p w14:paraId="2C39ECC0" w14:textId="77777777" w:rsidR="006942A7" w:rsidRDefault="006942A7" w:rsidP="00E63884">
            <w:pPr>
              <w:spacing w:after="157" w:line="360" w:lineRule="auto"/>
              <w:ind w:left="0" w:firstLine="0"/>
              <w:jc w:val="center"/>
              <w:rPr>
                <w:color w:val="auto"/>
              </w:rPr>
            </w:pPr>
          </w:p>
        </w:tc>
      </w:tr>
      <w:tr w:rsidR="00E63884" w:rsidRPr="009773AB" w14:paraId="058370D2" w14:textId="77777777" w:rsidTr="00B90D8F">
        <w:trPr>
          <w:trHeight w:hRule="exact" w:val="284"/>
          <w:jc w:val="center"/>
        </w:trPr>
        <w:tc>
          <w:tcPr>
            <w:tcW w:w="2553" w:type="dxa"/>
          </w:tcPr>
          <w:p w14:paraId="16518A91" w14:textId="6B4E4041" w:rsidR="00E63884" w:rsidRPr="009773AB" w:rsidRDefault="00E63884" w:rsidP="00E63884">
            <w:pPr>
              <w:spacing w:after="157" w:line="360" w:lineRule="auto"/>
              <w:ind w:left="0" w:firstLine="0"/>
              <w:jc w:val="both"/>
              <w:rPr>
                <w:color w:val="auto"/>
              </w:rPr>
            </w:pPr>
            <w:r>
              <w:rPr>
                <w:color w:val="auto"/>
              </w:rPr>
              <w:t>Poultry Feed Millers</w:t>
            </w:r>
          </w:p>
        </w:tc>
        <w:tc>
          <w:tcPr>
            <w:tcW w:w="1128" w:type="dxa"/>
            <w:shd w:val="clear" w:color="auto" w:fill="D0CECE" w:themeFill="background2" w:themeFillShade="E6"/>
          </w:tcPr>
          <w:p w14:paraId="513DA1FC" w14:textId="77777777" w:rsidR="00E63884" w:rsidRPr="009773AB" w:rsidRDefault="00E63884" w:rsidP="00E63884">
            <w:pPr>
              <w:spacing w:after="157" w:line="360" w:lineRule="auto"/>
              <w:ind w:left="0" w:firstLine="0"/>
              <w:jc w:val="center"/>
              <w:rPr>
                <w:color w:val="auto"/>
              </w:rPr>
            </w:pPr>
          </w:p>
        </w:tc>
        <w:tc>
          <w:tcPr>
            <w:tcW w:w="1359" w:type="dxa"/>
            <w:shd w:val="clear" w:color="auto" w:fill="5B9BD5" w:themeFill="accent1"/>
          </w:tcPr>
          <w:p w14:paraId="447C1B0F" w14:textId="77777777" w:rsidR="00E63884" w:rsidRPr="009773AB" w:rsidRDefault="00E63884" w:rsidP="00E63884">
            <w:pPr>
              <w:spacing w:after="157" w:line="360" w:lineRule="auto"/>
              <w:ind w:left="0" w:firstLine="0"/>
              <w:jc w:val="center"/>
              <w:rPr>
                <w:color w:val="auto"/>
              </w:rPr>
            </w:pPr>
          </w:p>
        </w:tc>
        <w:tc>
          <w:tcPr>
            <w:tcW w:w="1328" w:type="dxa"/>
            <w:shd w:val="clear" w:color="auto" w:fill="ED7D31" w:themeFill="accent2"/>
          </w:tcPr>
          <w:p w14:paraId="6826F878" w14:textId="2A7ACC20" w:rsidR="00E63884" w:rsidRPr="009773AB" w:rsidRDefault="006942A7" w:rsidP="00E63884">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3A17149F"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227EE95C"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79CB40D7" w14:textId="6E700AE3" w:rsidR="00E63884" w:rsidRPr="009773AB" w:rsidRDefault="006942A7" w:rsidP="00E63884">
            <w:pPr>
              <w:spacing w:after="157" w:line="360" w:lineRule="auto"/>
              <w:ind w:left="0" w:firstLine="0"/>
              <w:jc w:val="center"/>
              <w:rPr>
                <w:color w:val="auto"/>
              </w:rPr>
            </w:pPr>
            <w:r>
              <w:rPr>
                <w:color w:val="auto"/>
              </w:rPr>
              <w:t>X</w:t>
            </w:r>
          </w:p>
        </w:tc>
      </w:tr>
      <w:tr w:rsidR="00E63884" w:rsidRPr="009773AB" w14:paraId="793B1980" w14:textId="77777777" w:rsidTr="00B90D8F">
        <w:trPr>
          <w:trHeight w:hRule="exact" w:val="284"/>
          <w:jc w:val="center"/>
        </w:trPr>
        <w:tc>
          <w:tcPr>
            <w:tcW w:w="2553" w:type="dxa"/>
          </w:tcPr>
          <w:p w14:paraId="0519D69F" w14:textId="5594046E" w:rsidR="00E63884" w:rsidRPr="009773AB" w:rsidRDefault="00E63884" w:rsidP="006942A7">
            <w:pPr>
              <w:spacing w:after="157" w:line="360" w:lineRule="auto"/>
              <w:ind w:left="0" w:firstLine="0"/>
              <w:jc w:val="both"/>
              <w:rPr>
                <w:color w:val="auto"/>
              </w:rPr>
            </w:pPr>
            <w:r>
              <w:rPr>
                <w:color w:val="auto"/>
              </w:rPr>
              <w:t>Poultry Farmer</w:t>
            </w:r>
            <w:r w:rsidR="006942A7">
              <w:rPr>
                <w:color w:val="auto"/>
              </w:rPr>
              <w:t>s</w:t>
            </w:r>
          </w:p>
        </w:tc>
        <w:tc>
          <w:tcPr>
            <w:tcW w:w="1128" w:type="dxa"/>
            <w:shd w:val="clear" w:color="auto" w:fill="D0CECE" w:themeFill="background2" w:themeFillShade="E6"/>
          </w:tcPr>
          <w:p w14:paraId="4B4B446A" w14:textId="77777777" w:rsidR="00E63884" w:rsidRPr="009773AB" w:rsidRDefault="00E63884" w:rsidP="00E63884">
            <w:pPr>
              <w:spacing w:after="157" w:line="360" w:lineRule="auto"/>
              <w:ind w:left="0" w:firstLine="0"/>
              <w:jc w:val="center"/>
              <w:rPr>
                <w:color w:val="auto"/>
              </w:rPr>
            </w:pPr>
          </w:p>
        </w:tc>
        <w:tc>
          <w:tcPr>
            <w:tcW w:w="1359" w:type="dxa"/>
            <w:shd w:val="clear" w:color="auto" w:fill="5B9BD5" w:themeFill="accent1"/>
          </w:tcPr>
          <w:p w14:paraId="218C6842" w14:textId="77777777" w:rsidR="00E63884" w:rsidRPr="009773AB" w:rsidRDefault="00E63884" w:rsidP="00E63884">
            <w:pPr>
              <w:spacing w:after="157" w:line="360" w:lineRule="auto"/>
              <w:ind w:left="0" w:firstLine="0"/>
              <w:jc w:val="center"/>
              <w:rPr>
                <w:color w:val="auto"/>
              </w:rPr>
            </w:pPr>
          </w:p>
        </w:tc>
        <w:tc>
          <w:tcPr>
            <w:tcW w:w="1328" w:type="dxa"/>
            <w:shd w:val="clear" w:color="auto" w:fill="ED7D31" w:themeFill="accent2"/>
          </w:tcPr>
          <w:p w14:paraId="228865F9" w14:textId="43F5AB23" w:rsidR="00E63884" w:rsidRPr="009773AB" w:rsidRDefault="006942A7" w:rsidP="00E63884">
            <w:pPr>
              <w:spacing w:after="157" w:line="360" w:lineRule="auto"/>
              <w:ind w:left="0" w:firstLine="0"/>
              <w:jc w:val="center"/>
              <w:rPr>
                <w:color w:val="auto"/>
              </w:rPr>
            </w:pPr>
            <w:r>
              <w:rPr>
                <w:color w:val="auto"/>
              </w:rPr>
              <w:t>X</w:t>
            </w:r>
          </w:p>
        </w:tc>
        <w:tc>
          <w:tcPr>
            <w:tcW w:w="1214" w:type="dxa"/>
            <w:shd w:val="clear" w:color="auto" w:fill="D0CECE" w:themeFill="background2" w:themeFillShade="E6"/>
          </w:tcPr>
          <w:p w14:paraId="65BCCB8F" w14:textId="77777777" w:rsidR="00E63884" w:rsidRPr="009773AB" w:rsidRDefault="00E63884" w:rsidP="00E63884">
            <w:pPr>
              <w:spacing w:after="157" w:line="360" w:lineRule="auto"/>
              <w:ind w:left="0" w:firstLine="0"/>
              <w:jc w:val="center"/>
              <w:rPr>
                <w:color w:val="auto"/>
              </w:rPr>
            </w:pPr>
          </w:p>
        </w:tc>
        <w:tc>
          <w:tcPr>
            <w:tcW w:w="1215" w:type="dxa"/>
            <w:shd w:val="clear" w:color="auto" w:fill="5B9BD5" w:themeFill="accent1"/>
          </w:tcPr>
          <w:p w14:paraId="16DA1F71" w14:textId="77777777" w:rsidR="00E63884" w:rsidRPr="009773AB" w:rsidRDefault="00E63884" w:rsidP="00E63884">
            <w:pPr>
              <w:spacing w:after="157" w:line="360" w:lineRule="auto"/>
              <w:ind w:left="0" w:firstLine="0"/>
              <w:jc w:val="center"/>
              <w:rPr>
                <w:color w:val="auto"/>
              </w:rPr>
            </w:pPr>
          </w:p>
        </w:tc>
        <w:tc>
          <w:tcPr>
            <w:tcW w:w="1217" w:type="dxa"/>
            <w:shd w:val="clear" w:color="auto" w:fill="ED7D31" w:themeFill="accent2"/>
          </w:tcPr>
          <w:p w14:paraId="48F4FA82" w14:textId="42B32A71" w:rsidR="00E63884" w:rsidRPr="009773AB" w:rsidRDefault="006942A7" w:rsidP="00E63884">
            <w:pPr>
              <w:spacing w:after="157" w:line="360" w:lineRule="auto"/>
              <w:ind w:left="0" w:firstLine="0"/>
              <w:jc w:val="center"/>
              <w:rPr>
                <w:color w:val="auto"/>
              </w:rPr>
            </w:pPr>
            <w:r>
              <w:rPr>
                <w:color w:val="auto"/>
              </w:rPr>
              <w:t>X</w:t>
            </w:r>
          </w:p>
        </w:tc>
      </w:tr>
    </w:tbl>
    <w:p w14:paraId="2DCF90B3" w14:textId="77777777" w:rsidR="00E61D71" w:rsidRPr="00306CBA" w:rsidRDefault="00E61D71" w:rsidP="00E61D71">
      <w:pPr>
        <w:spacing w:after="157" w:line="360" w:lineRule="auto"/>
        <w:ind w:left="0" w:firstLine="0"/>
        <w:jc w:val="both"/>
        <w:rPr>
          <w:color w:val="FF0000"/>
        </w:rPr>
      </w:pPr>
    </w:p>
    <w:p w14:paraId="0EEEF4B4" w14:textId="0EE489D0" w:rsidR="00E61D71" w:rsidRDefault="006942A7" w:rsidP="00E61D71">
      <w:pPr>
        <w:spacing w:after="0" w:line="360" w:lineRule="auto"/>
        <w:ind w:left="-6" w:hanging="11"/>
        <w:jc w:val="both"/>
      </w:pPr>
      <w:r>
        <w:t>The older farmers who a</w:t>
      </w:r>
      <w:r w:rsidR="00E61D71">
        <w:t xml:space="preserve">re aware of aflatoxin in groundnuts got the information from </w:t>
      </w:r>
      <w:r w:rsidR="00B3027A">
        <w:t xml:space="preserve">the </w:t>
      </w:r>
      <w:r w:rsidR="00E61D71">
        <w:t>the</w:t>
      </w:r>
      <w:r>
        <w:t xml:space="preserve">n </w:t>
      </w:r>
      <w:r w:rsidR="00FA3BC3">
        <w:t>D</w:t>
      </w:r>
      <w:r>
        <w:t>epartment of Agriculture (D</w:t>
      </w:r>
      <w:r w:rsidR="00FA3BC3">
        <w:t>o</w:t>
      </w:r>
      <w:r>
        <w:t>A)</w:t>
      </w:r>
      <w:r w:rsidR="00E61D71">
        <w:t xml:space="preserve">, but the younger ones got it from their parents. </w:t>
      </w:r>
      <w:r w:rsidR="00504BDC">
        <w:t xml:space="preserve">Some farmers </w:t>
      </w:r>
      <w:r w:rsidR="00E61D71">
        <w:t xml:space="preserve">were exposed to the </w:t>
      </w:r>
      <w:r w:rsidR="00504BDC">
        <w:t xml:space="preserve">aflatoxin </w:t>
      </w:r>
      <w:r w:rsidR="00E61D71">
        <w:t xml:space="preserve">problem through </w:t>
      </w:r>
      <w:r w:rsidR="00504BDC">
        <w:t xml:space="preserve">a </w:t>
      </w:r>
      <w:r w:rsidR="00E61D71">
        <w:t>study tour to Malawi and South Africa</w:t>
      </w:r>
      <w:r w:rsidR="00504BDC">
        <w:t xml:space="preserve"> and</w:t>
      </w:r>
      <w:r w:rsidR="00E61D71">
        <w:t xml:space="preserve"> Farmer Field Schools</w:t>
      </w:r>
      <w:r w:rsidR="00504BDC">
        <w:t>.</w:t>
      </w:r>
      <w:r w:rsidR="00E61D71">
        <w:t xml:space="preserve"> </w:t>
      </w:r>
    </w:p>
    <w:p w14:paraId="4847B0BF" w14:textId="77777777" w:rsidR="005D77F6" w:rsidRDefault="005D77F6" w:rsidP="00E61D71">
      <w:pPr>
        <w:spacing w:after="0" w:line="360" w:lineRule="auto"/>
        <w:ind w:left="-6" w:hanging="11"/>
        <w:jc w:val="both"/>
      </w:pPr>
    </w:p>
    <w:p w14:paraId="70794017" w14:textId="0591B873" w:rsidR="005D77F6" w:rsidRPr="00DD19CF" w:rsidRDefault="00AB7996" w:rsidP="00FA3BC3">
      <w:pPr>
        <w:pStyle w:val="Heading1"/>
        <w:tabs>
          <w:tab w:val="right" w:pos="9375"/>
        </w:tabs>
      </w:pPr>
      <w:bookmarkStart w:id="26" w:name="_Toc427672763"/>
      <w:r>
        <w:t>8</w:t>
      </w:r>
      <w:r w:rsidR="00DA5F13" w:rsidRPr="00DD19CF">
        <w:t xml:space="preserve">.0 </w:t>
      </w:r>
      <w:r w:rsidR="005D77F6" w:rsidRPr="00DD19CF">
        <w:t>Economic Impacts Resulting from Aflatoxin Contamination</w:t>
      </w:r>
      <w:bookmarkEnd w:id="26"/>
      <w:r w:rsidR="005D77F6" w:rsidRPr="00DD19CF">
        <w:t xml:space="preserve"> </w:t>
      </w:r>
      <w:r w:rsidR="00FA3BC3">
        <w:tab/>
      </w:r>
    </w:p>
    <w:p w14:paraId="7B8E7056" w14:textId="77777777" w:rsidR="00B3027A" w:rsidRPr="00DD19CF" w:rsidRDefault="00B3027A" w:rsidP="00DD19CF">
      <w:pPr>
        <w:pStyle w:val="Heading2"/>
      </w:pPr>
    </w:p>
    <w:p w14:paraId="4E362DB3" w14:textId="1E9A5882" w:rsidR="002D2BAA" w:rsidRPr="00DD19CF" w:rsidRDefault="00AB7996" w:rsidP="003E003B">
      <w:pPr>
        <w:pStyle w:val="Heading2"/>
        <w:spacing w:line="480" w:lineRule="auto"/>
        <w:jc w:val="both"/>
        <w:rPr>
          <w:color w:val="auto"/>
        </w:rPr>
      </w:pPr>
      <w:bookmarkStart w:id="27" w:name="_Toc427672764"/>
      <w:r>
        <w:t>8</w:t>
      </w:r>
      <w:r w:rsidR="00DA5F13" w:rsidRPr="00DD19CF">
        <w:t xml:space="preserve">.1 </w:t>
      </w:r>
      <w:r w:rsidR="002D2BAA" w:rsidRPr="00DD19CF">
        <w:t>Agriculture and Food Security</w:t>
      </w:r>
      <w:bookmarkEnd w:id="27"/>
    </w:p>
    <w:p w14:paraId="0F8410BC" w14:textId="48D209E5" w:rsidR="002D2BAA" w:rsidRDefault="002D2BAA" w:rsidP="00271E79">
      <w:pPr>
        <w:pStyle w:val="NoSpacing"/>
        <w:spacing w:line="360" w:lineRule="auto"/>
        <w:ind w:left="-6" w:hanging="11"/>
        <w:jc w:val="both"/>
      </w:pPr>
      <w:r>
        <w:t xml:space="preserve">The occurrence of aflatoxins is confirmed throughout the value chain of the three commodities. The prevalence of the fungus in the soil has an impact on yields of the infested plants thereby reducing production and productivity. Given the low level of application of good agricultural practices by small-scale farmers, who in addition to having inadequate knowledge of GAP, lack the resources to acquire the necessary </w:t>
      </w:r>
      <w:r w:rsidRPr="00FA3BC3">
        <w:t>agricultural</w:t>
      </w:r>
      <w:r>
        <w:t xml:space="preserve"> inputs, such as fertilizer, certified seeds, agro-chemicals and appropriate implements needed for the </w:t>
      </w:r>
      <w:r w:rsidR="00B15B6A">
        <w:t xml:space="preserve">optimization </w:t>
      </w:r>
      <w:r>
        <w:t>of their farm outputs. The low productivity and production problem identified with the operations of the small-scale farmers is multi-dimensional</w:t>
      </w:r>
      <w:r w:rsidR="00AB3FEF">
        <w:t>;</w:t>
      </w:r>
      <w:r>
        <w:t xml:space="preserve"> however, the aflatoxin problem is an important contributor in this. Our field research and literature review did not reveal any quantifiable data on the effect of aflatoxin contamination at the farm level on yields and productivity in The Gambia. </w:t>
      </w:r>
      <w:r w:rsidR="007F4779">
        <w:t xml:space="preserve">Thus the economic impact of aflatoxins on food security pillar 1 (availability – local production) is unquantifiable. </w:t>
      </w:r>
    </w:p>
    <w:p w14:paraId="78B8B174" w14:textId="77777777" w:rsidR="00AF68EC" w:rsidRDefault="00AF68EC" w:rsidP="00271E79">
      <w:pPr>
        <w:pStyle w:val="NoSpacing"/>
        <w:spacing w:line="360" w:lineRule="auto"/>
        <w:ind w:left="-6" w:hanging="11"/>
        <w:jc w:val="both"/>
      </w:pPr>
    </w:p>
    <w:p w14:paraId="7279B8D0" w14:textId="6F65DCFB" w:rsidR="00ED0EA2" w:rsidRDefault="002D2BAA" w:rsidP="00007108">
      <w:pPr>
        <w:spacing w:line="360" w:lineRule="auto"/>
        <w:ind w:left="-6" w:hanging="11"/>
        <w:jc w:val="both"/>
      </w:pPr>
      <w:r>
        <w:t>The national consumption is estimated for groundnuts at 53,108 tons, equivalent to 77% of total production</w:t>
      </w:r>
      <w:r w:rsidR="00D51003">
        <w:t>;</w:t>
      </w:r>
      <w:r>
        <w:t xml:space="preserve"> for maize 14,125 tons, equivalent to 50 % of total production</w:t>
      </w:r>
      <w:r w:rsidR="00D51003">
        <w:t>;</w:t>
      </w:r>
      <w:r>
        <w:t xml:space="preserve"> and for rice </w:t>
      </w:r>
      <w:r w:rsidR="00EC42DF">
        <w:t>153,501</w:t>
      </w:r>
      <w:r>
        <w:t xml:space="preserve"> tons, made up of 24,951 tons from local production and </w:t>
      </w:r>
      <w:r w:rsidR="00EC42DF">
        <w:t>128,550 tons</w:t>
      </w:r>
      <w:r>
        <w:t xml:space="preserve"> from imports. Groundnuts, maize and rice together account for 36</w:t>
      </w:r>
      <w:r w:rsidR="00007108">
        <w:t>%</w:t>
      </w:r>
      <w:r>
        <w:t xml:space="preserve"> of the total calorie intake of Gambians</w:t>
      </w:r>
      <w:r w:rsidR="00007108">
        <w:t xml:space="preserve"> with rice contributing 26% (Figure </w:t>
      </w:r>
      <w:r w:rsidR="00BC3438">
        <w:t>2</w:t>
      </w:r>
      <w:r>
        <w:t>).</w:t>
      </w:r>
      <w:r w:rsidR="007846CE">
        <w:t xml:space="preserve"> </w:t>
      </w:r>
      <w:r>
        <w:lastRenderedPageBreak/>
        <w:t>Without any differentiation in the consumption of these commodities based on aflatoxin contamination levels, and the population being heavily dependent on the end uses of these commodities in their daily diets are therefore exposed to aflatoxin and its health consequences. This impacts particularly on the food security of Gambian population as it concerns the third pillar of food security (utilization – food safety).</w:t>
      </w:r>
    </w:p>
    <w:p w14:paraId="5882B491" w14:textId="42B40676" w:rsidR="002D2BAA" w:rsidRDefault="005862B2" w:rsidP="00007108">
      <w:pPr>
        <w:spacing w:line="360" w:lineRule="auto"/>
        <w:ind w:left="-6" w:hanging="11"/>
        <w:jc w:val="both"/>
      </w:pPr>
      <w:r w:rsidRPr="005862B2">
        <w:rPr>
          <w:color w:val="auto"/>
        </w:rPr>
        <w:t xml:space="preserve"> </w:t>
      </w:r>
    </w:p>
    <w:p w14:paraId="5EC28463" w14:textId="6B5A899B" w:rsidR="005D77F6" w:rsidRDefault="00DE6DF3" w:rsidP="005D77F6">
      <w:pPr>
        <w:spacing w:line="360" w:lineRule="auto"/>
        <w:jc w:val="both"/>
      </w:pPr>
      <w:r>
        <w:rPr>
          <w:noProof/>
          <w:lang w:val="en-US" w:eastAsia="en-US"/>
        </w:rPr>
        <w:drawing>
          <wp:inline distT="0" distB="0" distL="0" distR="0" wp14:anchorId="0B5DF0FA" wp14:editId="5BD2B4CB">
            <wp:extent cx="5133975" cy="3495675"/>
            <wp:effectExtent l="0" t="0" r="476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BAAC7B" w14:textId="77777777" w:rsidR="005D77F6" w:rsidRPr="00937E8C" w:rsidRDefault="005D77F6" w:rsidP="005D77F6">
      <w:pPr>
        <w:jc w:val="both"/>
        <w:rPr>
          <w:sz w:val="18"/>
          <w:szCs w:val="18"/>
        </w:rPr>
      </w:pPr>
      <w:r w:rsidRPr="00937E8C">
        <w:rPr>
          <w:sz w:val="18"/>
          <w:szCs w:val="18"/>
        </w:rPr>
        <w:t>Data Source: FAOSTAT 2011</w:t>
      </w:r>
    </w:p>
    <w:p w14:paraId="1A2AAE9F" w14:textId="77777777" w:rsidR="00ED0EA2" w:rsidRDefault="00ED0EA2" w:rsidP="00007108">
      <w:pPr>
        <w:spacing w:line="360" w:lineRule="auto"/>
        <w:jc w:val="both"/>
      </w:pPr>
    </w:p>
    <w:p w14:paraId="693AF051" w14:textId="4E074E93" w:rsidR="002D2BAA" w:rsidRDefault="002D2BAA" w:rsidP="00007108">
      <w:pPr>
        <w:spacing w:line="360" w:lineRule="auto"/>
        <w:jc w:val="both"/>
      </w:pPr>
      <w:r>
        <w:t>Of the estimated total production of the three commodities, 20,795 tons of groundnuts are marketed locally and 10,242 tons are export</w:t>
      </w:r>
      <w:r w:rsidR="00412C32">
        <w:t>ed; about 7,000 tons of maize are</w:t>
      </w:r>
      <w:r>
        <w:t xml:space="preserve"> marketed locally and about </w:t>
      </w:r>
      <w:r w:rsidRPr="00412C32">
        <w:t>2,500</w:t>
      </w:r>
      <w:r w:rsidR="00DB1ABF">
        <w:t xml:space="preserve"> tons</w:t>
      </w:r>
      <w:r>
        <w:t xml:space="preserve"> </w:t>
      </w:r>
      <w:r w:rsidR="00412C32">
        <w:t xml:space="preserve">of locally produced rice are kept for </w:t>
      </w:r>
      <w:r w:rsidRPr="00412C32">
        <w:t>seed</w:t>
      </w:r>
      <w:r w:rsidR="00412C32" w:rsidRPr="00412C32">
        <w:t xml:space="preserve"> or </w:t>
      </w:r>
      <w:r>
        <w:t xml:space="preserve">marketed locally.  The income generated from the sale of these commodities is used by farmers to purchase food to augment their household food security, agricultural inputs and other needs. For all these commodities marketed at the local market there is no price differentiation based on aflatoxin contamination levels. For the groundnuts and groundnut products exported the prices are determined internationally. The Gambia’s current exports of groundnuts and products are limited to nuts for bird feed, crude oil and cake, which do not attract premium prices. Given that the producer price paid to the farmers by exporters is set by a price determination mechanism based on the international prices for the different commodities, it is evident that the farmers do not receive a </w:t>
      </w:r>
      <w:r>
        <w:lastRenderedPageBreak/>
        <w:t>premium price. The groundnut product which fetches the best price in the international market is HPS confectionery nuts. It should be noted that the only evident impact on the farmers’ income derived from the marketing of their produce relates to the component of the produce that is exported.  This situation affects negatively the farmers’ disposable income and thus impacts food security of farmers as far as the second pillar of food security (accessibility – purchasing power parity) is concerned.</w:t>
      </w:r>
    </w:p>
    <w:p w14:paraId="40915B05" w14:textId="6C66B13D" w:rsidR="00EA5D94" w:rsidRPr="00DD19CF" w:rsidRDefault="00AB7996" w:rsidP="003E003B">
      <w:pPr>
        <w:pStyle w:val="Heading2"/>
        <w:spacing w:line="480" w:lineRule="auto"/>
        <w:jc w:val="both"/>
      </w:pPr>
      <w:bookmarkStart w:id="28" w:name="_Toc427672765"/>
      <w:r>
        <w:t>8</w:t>
      </w:r>
      <w:r w:rsidR="00EA5D94" w:rsidRPr="00DD19CF">
        <w:t xml:space="preserve">.2 </w:t>
      </w:r>
      <w:r w:rsidR="00EA5D94" w:rsidRPr="00DD19CF">
        <w:tab/>
      </w:r>
      <w:r w:rsidR="00DD19CF" w:rsidRPr="00DD19CF">
        <w:t>Economic impact on d</w:t>
      </w:r>
      <w:r w:rsidR="00EA5D94" w:rsidRPr="00DD19CF">
        <w:t>omestic Trade</w:t>
      </w:r>
      <w:bookmarkEnd w:id="28"/>
    </w:p>
    <w:p w14:paraId="235D94CD" w14:textId="26E882D8" w:rsidR="00EA5D94" w:rsidRPr="00FF4B9A" w:rsidRDefault="00EA5D94" w:rsidP="00EA5D94">
      <w:pPr>
        <w:spacing w:line="360" w:lineRule="auto"/>
        <w:jc w:val="both"/>
      </w:pPr>
      <w:r w:rsidRPr="00FF4B9A">
        <w:t>In The Gambia, there is substantial trade of agricultural commodities particularly of groundnuts, rice and maize in the domestic markets comprising regular and weekly (</w:t>
      </w:r>
      <w:r w:rsidR="00EC52CB">
        <w:t>loumo</w:t>
      </w:r>
      <w:r w:rsidR="00622B37" w:rsidRPr="00FF4B9A">
        <w:t>s</w:t>
      </w:r>
      <w:r w:rsidRPr="00FF4B9A">
        <w:t>) markets. Currently there exists national standards for groundnuts and rice; the standard for maize is being drafted.  The marketing of these commodities are regulated under the Food Safety and Quality Act, however, regulations for enforcement have not yet been developed. In the same vein, maximum limits for aflatoxin contamination in the three commodities have not yet also been established by FSQA.</w:t>
      </w:r>
    </w:p>
    <w:p w14:paraId="5E15BB09" w14:textId="095E4E3F" w:rsidR="00C214B1" w:rsidRPr="00FF4B9A" w:rsidRDefault="00EA5D94" w:rsidP="00C214B1">
      <w:pPr>
        <w:spacing w:line="360" w:lineRule="auto"/>
        <w:jc w:val="both"/>
      </w:pPr>
      <w:r w:rsidRPr="00FF4B9A">
        <w:t xml:space="preserve">There exists no price differentiation for the commodities according to the level of aflatoxin contamination. Groundnuts are marketed in two forms: groundnuts in shell and decorticated groundnuts. Decorticated groundnuts are sorted and marketed in two grades: whole kernels and splits mixed with broken kernels. The whole kernels </w:t>
      </w:r>
      <w:r w:rsidR="008C4C67">
        <w:t xml:space="preserve">are used for seed and consumed by households and </w:t>
      </w:r>
      <w:r w:rsidRPr="00FF4B9A">
        <w:t xml:space="preserve">fetch a higher price. </w:t>
      </w:r>
      <w:r w:rsidR="00C214B1">
        <w:t xml:space="preserve">The physical separation is however not based on the level of contamination with aflatoxin and no reliable data exists on the quantities of whole and split kernels in the market.    </w:t>
      </w:r>
      <w:r w:rsidR="00C214B1" w:rsidRPr="00FF4B9A">
        <w:t xml:space="preserve">  </w:t>
      </w:r>
    </w:p>
    <w:p w14:paraId="365663C1" w14:textId="681F7C30" w:rsidR="00EA5D94" w:rsidRPr="00FF4B9A" w:rsidRDefault="00EA5D94" w:rsidP="00EA5D94">
      <w:pPr>
        <w:spacing w:line="360" w:lineRule="auto"/>
        <w:jc w:val="both"/>
      </w:pPr>
      <w:r w:rsidRPr="00FF4B9A">
        <w:t xml:space="preserve">Maize is also marketed in two forms: in cobs and kernels. The kernels are marketed in two grades: whole sound kernels and the </w:t>
      </w:r>
      <w:r w:rsidR="00CA445D">
        <w:t>damaged</w:t>
      </w:r>
      <w:r w:rsidRPr="00FF4B9A">
        <w:t xml:space="preserve"> kernels, with the </w:t>
      </w:r>
      <w:r w:rsidR="00CA445D">
        <w:t>damaged</w:t>
      </w:r>
      <w:r w:rsidRPr="00FF4B9A">
        <w:t xml:space="preserve"> kernels fetching a lower price and mainly used for animal feed. </w:t>
      </w:r>
      <w:r w:rsidR="005D1B11">
        <w:t xml:space="preserve"> However, the separation is not based on level of aflatoxin contamination and no reliable data exists on quantities to undertake economic analysis.</w:t>
      </w:r>
      <w:r w:rsidR="005D1B11" w:rsidRPr="00FF4B9A">
        <w:t xml:space="preserve"> </w:t>
      </w:r>
      <w:r w:rsidRPr="00FF4B9A">
        <w:t xml:space="preserve">Marketing of rice is in the forms of paddy and milled.   </w:t>
      </w:r>
    </w:p>
    <w:p w14:paraId="7B27A711" w14:textId="34975504" w:rsidR="00EA5D94" w:rsidRPr="00FF4B9A" w:rsidRDefault="00EA5D94" w:rsidP="0094607A">
      <w:pPr>
        <w:spacing w:line="360" w:lineRule="auto"/>
        <w:ind w:left="0" w:firstLine="0"/>
        <w:jc w:val="both"/>
      </w:pPr>
      <w:r w:rsidRPr="00FF4B9A">
        <w:t>The value added products derived from groundnuts (paste, flour, roasted peanuts, boiled, oil) and maize (flour, grits) and the by-products (hay, groundnut cake, rice and maize bran, rice straw) are marketed.</w:t>
      </w:r>
      <w:r w:rsidR="00C214B1">
        <w:t xml:space="preserve"> </w:t>
      </w:r>
      <w:r w:rsidRPr="00FF4B9A">
        <w:t xml:space="preserve">Aflatoxin contamination is not taken into consideration in the determination of prices of all the products and by-products of the commodities. Consequently, the economic impact of aflatoxin contamination in the domestic market is negligible. </w:t>
      </w:r>
    </w:p>
    <w:p w14:paraId="3B413654" w14:textId="0F469BBE" w:rsidR="00EA5D94" w:rsidRPr="00DD19CF" w:rsidRDefault="00AB7996" w:rsidP="003E003B">
      <w:pPr>
        <w:pStyle w:val="Heading2"/>
        <w:spacing w:line="480" w:lineRule="auto"/>
        <w:jc w:val="both"/>
      </w:pPr>
      <w:bookmarkStart w:id="29" w:name="_Toc427672766"/>
      <w:r>
        <w:lastRenderedPageBreak/>
        <w:t>8</w:t>
      </w:r>
      <w:r w:rsidR="00EA5D94" w:rsidRPr="00DD19CF">
        <w:t xml:space="preserve">.3 </w:t>
      </w:r>
      <w:r w:rsidR="00DD19CF" w:rsidRPr="00DD19CF">
        <w:t>Economic impact on i</w:t>
      </w:r>
      <w:r w:rsidR="00EA5D94" w:rsidRPr="00DD19CF">
        <w:t>nternational Trade</w:t>
      </w:r>
      <w:bookmarkEnd w:id="29"/>
    </w:p>
    <w:p w14:paraId="4FCE17CC" w14:textId="01EC8F7F" w:rsidR="00EA5D94" w:rsidRDefault="00EA5D94" w:rsidP="00EA5D94">
      <w:pPr>
        <w:spacing w:line="360" w:lineRule="auto"/>
        <w:jc w:val="both"/>
      </w:pPr>
      <w:r w:rsidRPr="00FF4B9A">
        <w:t xml:space="preserve">Groundnuts constitute the most important export agricultural commodity and foreign exchange earner </w:t>
      </w:r>
      <w:r w:rsidR="00BC3438">
        <w:t>for the Gambian economy. Table 6</w:t>
      </w:r>
      <w:r w:rsidRPr="00FF4B9A">
        <w:t xml:space="preserve"> presents data (volumes and values) on exports of groundnut products comprising shelled (HPS), crude oil and cake from 2000 to 2014. It shows a general decline for shelled (HPS) and cake, while the crude oil</w:t>
      </w:r>
      <w:r w:rsidRPr="00FF4B9A">
        <w:rPr>
          <w:color w:val="FF0000"/>
        </w:rPr>
        <w:t xml:space="preserve"> </w:t>
      </w:r>
      <w:r w:rsidRPr="00FF4B9A">
        <w:t>exports</w:t>
      </w:r>
      <w:r w:rsidRPr="00FF4B9A">
        <w:rPr>
          <w:color w:val="FF0000"/>
        </w:rPr>
        <w:t xml:space="preserve"> </w:t>
      </w:r>
      <w:r w:rsidRPr="00FF4B9A">
        <w:t>experienced an increase in terms of both</w:t>
      </w:r>
      <w:r w:rsidR="002A65DA">
        <w:t xml:space="preserve"> volumes and values (</w:t>
      </w:r>
      <w:r w:rsidR="00C43D04">
        <w:t>Table 7</w:t>
      </w:r>
      <w:r w:rsidRPr="00FF4B9A">
        <w:t xml:space="preserve">). </w:t>
      </w:r>
    </w:p>
    <w:p w14:paraId="76CA4330" w14:textId="77777777" w:rsidR="000B1A92" w:rsidRPr="00FF4B9A" w:rsidRDefault="000B1A92" w:rsidP="00EA5D94">
      <w:pPr>
        <w:spacing w:line="360" w:lineRule="auto"/>
        <w:jc w:val="both"/>
      </w:pPr>
    </w:p>
    <w:p w14:paraId="6AA231DD" w14:textId="3450DB3F" w:rsidR="00EA5D94" w:rsidRDefault="00C43D04" w:rsidP="002A65DA">
      <w:pPr>
        <w:spacing w:after="0"/>
      </w:pPr>
      <w:r>
        <w:t>Table 7</w:t>
      </w:r>
      <w:r w:rsidR="00EA5D94">
        <w:t>. Quantities and values of Gambia groundnut</w:t>
      </w:r>
      <w:r w:rsidR="000A07D8">
        <w:t>s, oil</w:t>
      </w:r>
      <w:r w:rsidR="00EA5D94">
        <w:t xml:space="preserve"> and cake exports</w:t>
      </w: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23"/>
        <w:gridCol w:w="851"/>
        <w:gridCol w:w="1113"/>
        <w:gridCol w:w="1023"/>
        <w:gridCol w:w="1245"/>
        <w:gridCol w:w="992"/>
        <w:gridCol w:w="1023"/>
        <w:gridCol w:w="738"/>
        <w:gridCol w:w="932"/>
      </w:tblGrid>
      <w:tr w:rsidR="00EA5D94" w:rsidRPr="00C171EA" w14:paraId="67603552" w14:textId="77777777" w:rsidTr="00B90D8F">
        <w:trPr>
          <w:trHeight w:val="466"/>
        </w:trPr>
        <w:tc>
          <w:tcPr>
            <w:tcW w:w="836" w:type="dxa"/>
            <w:shd w:val="clear" w:color="auto" w:fill="auto"/>
            <w:noWrap/>
            <w:vAlign w:val="bottom"/>
          </w:tcPr>
          <w:p w14:paraId="6B5FDDA0" w14:textId="77777777" w:rsidR="00EA5D94" w:rsidRPr="00C171EA" w:rsidRDefault="00EA5D94" w:rsidP="002F3D99">
            <w:pPr>
              <w:spacing w:after="0" w:line="240" w:lineRule="auto"/>
              <w:rPr>
                <w:rFonts w:ascii="Calibri" w:hAnsi="Calibri"/>
              </w:rPr>
            </w:pPr>
          </w:p>
        </w:tc>
        <w:tc>
          <w:tcPr>
            <w:tcW w:w="8940" w:type="dxa"/>
            <w:gridSpan w:val="9"/>
            <w:shd w:val="clear" w:color="auto" w:fill="auto"/>
            <w:noWrap/>
            <w:vAlign w:val="bottom"/>
          </w:tcPr>
          <w:p w14:paraId="57C62402" w14:textId="77777777" w:rsidR="00EA5D94" w:rsidRPr="00C171EA" w:rsidRDefault="00EA5D94" w:rsidP="002F3D99">
            <w:pPr>
              <w:spacing w:after="0" w:line="240" w:lineRule="auto"/>
              <w:jc w:val="center"/>
              <w:rPr>
                <w:rFonts w:ascii="Calibri" w:hAnsi="Calibri"/>
                <w:b/>
                <w:bCs/>
              </w:rPr>
            </w:pPr>
            <w:r>
              <w:rPr>
                <w:rFonts w:ascii="Calibri" w:hAnsi="Calibri"/>
                <w:b/>
                <w:bCs/>
              </w:rPr>
              <w:t>Commodities</w:t>
            </w:r>
          </w:p>
        </w:tc>
      </w:tr>
      <w:tr w:rsidR="00EA5D94" w:rsidRPr="00C171EA" w14:paraId="7E55A78D" w14:textId="77777777" w:rsidTr="00B90D8F">
        <w:trPr>
          <w:trHeight w:val="466"/>
        </w:trPr>
        <w:tc>
          <w:tcPr>
            <w:tcW w:w="836" w:type="dxa"/>
            <w:shd w:val="clear" w:color="auto" w:fill="auto"/>
            <w:noWrap/>
            <w:vAlign w:val="bottom"/>
            <w:hideMark/>
          </w:tcPr>
          <w:p w14:paraId="70EA6766" w14:textId="77777777" w:rsidR="00EA5D94" w:rsidRPr="00C171EA" w:rsidRDefault="00EA5D94" w:rsidP="002F3D99">
            <w:pPr>
              <w:spacing w:after="0" w:line="240" w:lineRule="auto"/>
              <w:rPr>
                <w:rFonts w:ascii="Calibri" w:hAnsi="Calibri"/>
              </w:rPr>
            </w:pPr>
          </w:p>
        </w:tc>
        <w:tc>
          <w:tcPr>
            <w:tcW w:w="2987" w:type="dxa"/>
            <w:gridSpan w:val="3"/>
            <w:shd w:val="clear" w:color="auto" w:fill="auto"/>
            <w:noWrap/>
            <w:vAlign w:val="bottom"/>
            <w:hideMark/>
          </w:tcPr>
          <w:p w14:paraId="6B8DA15F" w14:textId="77777777" w:rsidR="00EA5D94" w:rsidRPr="00C171EA" w:rsidRDefault="00EA5D94" w:rsidP="002F3D99">
            <w:pPr>
              <w:spacing w:after="0" w:line="240" w:lineRule="auto"/>
              <w:jc w:val="center"/>
              <w:rPr>
                <w:rFonts w:ascii="Calibri" w:hAnsi="Calibri"/>
              </w:rPr>
            </w:pPr>
            <w:r w:rsidRPr="00C171EA">
              <w:rPr>
                <w:rFonts w:ascii="Calibri" w:hAnsi="Calibri"/>
                <w:b/>
                <w:bCs/>
              </w:rPr>
              <w:t>G</w:t>
            </w:r>
            <w:r>
              <w:rPr>
                <w:rFonts w:ascii="Calibri" w:hAnsi="Calibri"/>
                <w:b/>
                <w:bCs/>
              </w:rPr>
              <w:t>roundnut S</w:t>
            </w:r>
            <w:r w:rsidRPr="00C171EA">
              <w:rPr>
                <w:rFonts w:ascii="Calibri" w:hAnsi="Calibri"/>
                <w:b/>
                <w:bCs/>
              </w:rPr>
              <w:t>helled</w:t>
            </w:r>
            <w:r w:rsidRPr="00C171EA">
              <w:rPr>
                <w:rFonts w:ascii="Calibri" w:hAnsi="Calibri"/>
              </w:rPr>
              <w:t> </w:t>
            </w:r>
          </w:p>
        </w:tc>
        <w:tc>
          <w:tcPr>
            <w:tcW w:w="3260" w:type="dxa"/>
            <w:gridSpan w:val="3"/>
            <w:shd w:val="clear" w:color="auto" w:fill="auto"/>
            <w:noWrap/>
            <w:vAlign w:val="bottom"/>
            <w:hideMark/>
          </w:tcPr>
          <w:p w14:paraId="3374BA51"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G/nut Oil</w:t>
            </w:r>
          </w:p>
        </w:tc>
        <w:tc>
          <w:tcPr>
            <w:tcW w:w="2693" w:type="dxa"/>
            <w:gridSpan w:val="3"/>
            <w:shd w:val="clear" w:color="auto" w:fill="auto"/>
            <w:noWrap/>
            <w:vAlign w:val="bottom"/>
            <w:hideMark/>
          </w:tcPr>
          <w:p w14:paraId="201C7232"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Cake</w:t>
            </w:r>
          </w:p>
        </w:tc>
      </w:tr>
      <w:tr w:rsidR="00EA5D94" w:rsidRPr="00C171EA" w14:paraId="3CF61D9F" w14:textId="77777777" w:rsidTr="00B90D8F">
        <w:trPr>
          <w:trHeight w:val="576"/>
        </w:trPr>
        <w:tc>
          <w:tcPr>
            <w:tcW w:w="836" w:type="dxa"/>
            <w:shd w:val="clear" w:color="auto" w:fill="auto"/>
            <w:noWrap/>
            <w:vAlign w:val="bottom"/>
            <w:hideMark/>
          </w:tcPr>
          <w:p w14:paraId="3709BFB0"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Year</w:t>
            </w:r>
          </w:p>
        </w:tc>
        <w:tc>
          <w:tcPr>
            <w:tcW w:w="1023" w:type="dxa"/>
            <w:shd w:val="clear" w:color="auto" w:fill="auto"/>
            <w:noWrap/>
            <w:hideMark/>
          </w:tcPr>
          <w:p w14:paraId="0C0B9955"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Quantity (MT)</w:t>
            </w:r>
          </w:p>
        </w:tc>
        <w:tc>
          <w:tcPr>
            <w:tcW w:w="851" w:type="dxa"/>
            <w:shd w:val="clear" w:color="auto" w:fill="auto"/>
            <w:noWrap/>
            <w:hideMark/>
          </w:tcPr>
          <w:p w14:paraId="340615EA" w14:textId="77777777" w:rsidR="00EA5D94" w:rsidRDefault="00EA5D94" w:rsidP="002F3D99">
            <w:pPr>
              <w:spacing w:after="0" w:line="240" w:lineRule="auto"/>
              <w:jc w:val="center"/>
              <w:rPr>
                <w:rFonts w:ascii="Calibri" w:hAnsi="Calibri"/>
                <w:b/>
                <w:bCs/>
              </w:rPr>
            </w:pPr>
            <w:r w:rsidRPr="00C171EA">
              <w:rPr>
                <w:rFonts w:ascii="Calibri" w:hAnsi="Calibri"/>
                <w:b/>
                <w:bCs/>
              </w:rPr>
              <w:t>Value</w:t>
            </w:r>
          </w:p>
          <w:p w14:paraId="68838926"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($'000)</w:t>
            </w:r>
          </w:p>
        </w:tc>
        <w:tc>
          <w:tcPr>
            <w:tcW w:w="1113" w:type="dxa"/>
            <w:shd w:val="clear" w:color="auto" w:fill="auto"/>
            <w:hideMark/>
          </w:tcPr>
          <w:p w14:paraId="19315A2A"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Unit Value</w:t>
            </w:r>
            <w:r>
              <w:rPr>
                <w:rFonts w:ascii="Calibri" w:hAnsi="Calibri"/>
                <w:b/>
                <w:bCs/>
              </w:rPr>
              <w:t xml:space="preserve"> </w:t>
            </w:r>
            <w:r w:rsidRPr="00C171EA">
              <w:rPr>
                <w:rFonts w:ascii="Calibri" w:hAnsi="Calibri"/>
                <w:b/>
                <w:bCs/>
              </w:rPr>
              <w:t>($/MT)</w:t>
            </w:r>
          </w:p>
        </w:tc>
        <w:tc>
          <w:tcPr>
            <w:tcW w:w="1023" w:type="dxa"/>
            <w:shd w:val="clear" w:color="auto" w:fill="auto"/>
            <w:noWrap/>
            <w:hideMark/>
          </w:tcPr>
          <w:p w14:paraId="155CAB31"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Quantity (MT)</w:t>
            </w:r>
          </w:p>
        </w:tc>
        <w:tc>
          <w:tcPr>
            <w:tcW w:w="1245" w:type="dxa"/>
            <w:shd w:val="clear" w:color="auto" w:fill="auto"/>
            <w:noWrap/>
            <w:hideMark/>
          </w:tcPr>
          <w:p w14:paraId="1F20378B"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Value ($'000)</w:t>
            </w:r>
          </w:p>
        </w:tc>
        <w:tc>
          <w:tcPr>
            <w:tcW w:w="992" w:type="dxa"/>
            <w:shd w:val="clear" w:color="auto" w:fill="auto"/>
            <w:hideMark/>
          </w:tcPr>
          <w:p w14:paraId="31FF8093"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Unit Value ($/MT)</w:t>
            </w:r>
          </w:p>
        </w:tc>
        <w:tc>
          <w:tcPr>
            <w:tcW w:w="1023" w:type="dxa"/>
            <w:shd w:val="clear" w:color="auto" w:fill="auto"/>
            <w:noWrap/>
            <w:hideMark/>
          </w:tcPr>
          <w:p w14:paraId="31F46045" w14:textId="77777777" w:rsidR="00EA5D94" w:rsidRDefault="00EA5D94" w:rsidP="002F3D99">
            <w:pPr>
              <w:spacing w:after="0" w:line="240" w:lineRule="auto"/>
              <w:jc w:val="center"/>
              <w:rPr>
                <w:rFonts w:ascii="Calibri" w:hAnsi="Calibri"/>
                <w:b/>
                <w:bCs/>
              </w:rPr>
            </w:pPr>
            <w:r w:rsidRPr="00C171EA">
              <w:rPr>
                <w:rFonts w:ascii="Calibri" w:hAnsi="Calibri"/>
                <w:b/>
                <w:bCs/>
              </w:rPr>
              <w:t>Quantity</w:t>
            </w:r>
          </w:p>
          <w:p w14:paraId="071DFAE1"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(MT)</w:t>
            </w:r>
          </w:p>
        </w:tc>
        <w:tc>
          <w:tcPr>
            <w:tcW w:w="738" w:type="dxa"/>
            <w:shd w:val="clear" w:color="auto" w:fill="auto"/>
            <w:noWrap/>
            <w:hideMark/>
          </w:tcPr>
          <w:p w14:paraId="242E4BFA" w14:textId="77777777" w:rsidR="00EA5D94" w:rsidRDefault="00EA5D94" w:rsidP="002F3D99">
            <w:pPr>
              <w:spacing w:after="0" w:line="240" w:lineRule="auto"/>
              <w:jc w:val="center"/>
              <w:rPr>
                <w:rFonts w:ascii="Calibri" w:hAnsi="Calibri"/>
                <w:b/>
                <w:bCs/>
              </w:rPr>
            </w:pPr>
            <w:r w:rsidRPr="00C171EA">
              <w:rPr>
                <w:rFonts w:ascii="Calibri" w:hAnsi="Calibri"/>
                <w:b/>
                <w:bCs/>
              </w:rPr>
              <w:t>Value</w:t>
            </w:r>
          </w:p>
          <w:p w14:paraId="1F257F2D"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w:t>
            </w:r>
          </w:p>
        </w:tc>
        <w:tc>
          <w:tcPr>
            <w:tcW w:w="932" w:type="dxa"/>
            <w:shd w:val="clear" w:color="auto" w:fill="auto"/>
            <w:noWrap/>
            <w:hideMark/>
          </w:tcPr>
          <w:p w14:paraId="7C8CB484" w14:textId="77777777" w:rsidR="00EA5D94" w:rsidRPr="00C171EA" w:rsidRDefault="00EA5D94" w:rsidP="002F3D99">
            <w:pPr>
              <w:spacing w:after="0" w:line="240" w:lineRule="auto"/>
              <w:jc w:val="center"/>
              <w:rPr>
                <w:rFonts w:ascii="Calibri" w:hAnsi="Calibri"/>
                <w:b/>
                <w:bCs/>
              </w:rPr>
            </w:pPr>
            <w:r w:rsidRPr="00C171EA">
              <w:rPr>
                <w:rFonts w:ascii="Calibri" w:hAnsi="Calibri"/>
                <w:b/>
                <w:bCs/>
              </w:rPr>
              <w:t>Unit Value ($/MT)</w:t>
            </w:r>
          </w:p>
        </w:tc>
      </w:tr>
      <w:tr w:rsidR="00EA5D94" w:rsidRPr="00C171EA" w14:paraId="1FFB4268" w14:textId="77777777" w:rsidTr="00B90D8F">
        <w:trPr>
          <w:trHeight w:val="288"/>
        </w:trPr>
        <w:tc>
          <w:tcPr>
            <w:tcW w:w="836" w:type="dxa"/>
            <w:shd w:val="clear" w:color="auto" w:fill="auto"/>
            <w:noWrap/>
            <w:vAlign w:val="bottom"/>
            <w:hideMark/>
          </w:tcPr>
          <w:p w14:paraId="48DB255E" w14:textId="77777777" w:rsidR="00EA5D94" w:rsidRPr="00C171EA" w:rsidRDefault="00EA5D94" w:rsidP="002F3D99">
            <w:pPr>
              <w:spacing w:after="0" w:line="240" w:lineRule="auto"/>
              <w:jc w:val="right"/>
              <w:rPr>
                <w:rFonts w:ascii="Calibri" w:hAnsi="Calibri"/>
              </w:rPr>
            </w:pPr>
            <w:r w:rsidRPr="00C171EA">
              <w:rPr>
                <w:rFonts w:ascii="Calibri" w:hAnsi="Calibri"/>
              </w:rPr>
              <w:t>2000</w:t>
            </w:r>
          </w:p>
        </w:tc>
        <w:tc>
          <w:tcPr>
            <w:tcW w:w="1023" w:type="dxa"/>
            <w:shd w:val="clear" w:color="auto" w:fill="auto"/>
            <w:noWrap/>
            <w:vAlign w:val="bottom"/>
            <w:hideMark/>
          </w:tcPr>
          <w:p w14:paraId="1A35615D" w14:textId="77777777" w:rsidR="00EA5D94" w:rsidRPr="00C171EA" w:rsidRDefault="00EA5D94" w:rsidP="002F3D99">
            <w:pPr>
              <w:spacing w:after="0" w:line="240" w:lineRule="auto"/>
              <w:jc w:val="right"/>
              <w:rPr>
                <w:rFonts w:ascii="Calibri" w:hAnsi="Calibri"/>
              </w:rPr>
            </w:pPr>
            <w:r w:rsidRPr="00C171EA">
              <w:rPr>
                <w:rFonts w:ascii="Calibri" w:hAnsi="Calibri"/>
              </w:rPr>
              <w:t>26818</w:t>
            </w:r>
          </w:p>
        </w:tc>
        <w:tc>
          <w:tcPr>
            <w:tcW w:w="851" w:type="dxa"/>
            <w:shd w:val="clear" w:color="auto" w:fill="auto"/>
            <w:noWrap/>
            <w:vAlign w:val="bottom"/>
            <w:hideMark/>
          </w:tcPr>
          <w:p w14:paraId="0CE4FAF0" w14:textId="77777777" w:rsidR="00EA5D94" w:rsidRPr="00C171EA" w:rsidRDefault="00EA5D94" w:rsidP="002F3D99">
            <w:pPr>
              <w:spacing w:after="0" w:line="240" w:lineRule="auto"/>
              <w:jc w:val="right"/>
              <w:rPr>
                <w:rFonts w:ascii="Calibri" w:hAnsi="Calibri"/>
              </w:rPr>
            </w:pPr>
            <w:r w:rsidRPr="00C171EA">
              <w:rPr>
                <w:rFonts w:ascii="Calibri" w:hAnsi="Calibri"/>
              </w:rPr>
              <w:t>7634</w:t>
            </w:r>
          </w:p>
        </w:tc>
        <w:tc>
          <w:tcPr>
            <w:tcW w:w="1113" w:type="dxa"/>
            <w:shd w:val="clear" w:color="auto" w:fill="auto"/>
            <w:noWrap/>
            <w:vAlign w:val="bottom"/>
            <w:hideMark/>
          </w:tcPr>
          <w:p w14:paraId="477B8DF9" w14:textId="77777777" w:rsidR="00EA5D94" w:rsidRPr="00C171EA" w:rsidRDefault="00EA5D94" w:rsidP="002F3D99">
            <w:pPr>
              <w:spacing w:after="0" w:line="240" w:lineRule="auto"/>
              <w:jc w:val="right"/>
              <w:rPr>
                <w:rFonts w:ascii="Calibri" w:hAnsi="Calibri"/>
              </w:rPr>
            </w:pPr>
            <w:r w:rsidRPr="00C171EA">
              <w:rPr>
                <w:rFonts w:ascii="Calibri" w:hAnsi="Calibri"/>
              </w:rPr>
              <w:t>285</w:t>
            </w:r>
          </w:p>
        </w:tc>
        <w:tc>
          <w:tcPr>
            <w:tcW w:w="1023" w:type="dxa"/>
            <w:shd w:val="clear" w:color="auto" w:fill="auto"/>
            <w:noWrap/>
            <w:vAlign w:val="bottom"/>
            <w:hideMark/>
          </w:tcPr>
          <w:p w14:paraId="6A02598E" w14:textId="77777777" w:rsidR="00EA5D94" w:rsidRPr="00C171EA" w:rsidRDefault="00EA5D94" w:rsidP="002F3D99">
            <w:pPr>
              <w:spacing w:after="0" w:line="240" w:lineRule="auto"/>
              <w:jc w:val="right"/>
              <w:rPr>
                <w:rFonts w:ascii="Calibri" w:hAnsi="Calibri"/>
              </w:rPr>
            </w:pPr>
            <w:r w:rsidRPr="00C171EA">
              <w:rPr>
                <w:rFonts w:ascii="Calibri" w:hAnsi="Calibri"/>
              </w:rPr>
              <w:t>5700</w:t>
            </w:r>
          </w:p>
        </w:tc>
        <w:tc>
          <w:tcPr>
            <w:tcW w:w="1245" w:type="dxa"/>
            <w:shd w:val="clear" w:color="auto" w:fill="auto"/>
            <w:noWrap/>
            <w:vAlign w:val="bottom"/>
            <w:hideMark/>
          </w:tcPr>
          <w:p w14:paraId="77327D17" w14:textId="77777777" w:rsidR="00EA5D94" w:rsidRPr="00C171EA" w:rsidRDefault="00EA5D94" w:rsidP="002F3D99">
            <w:pPr>
              <w:spacing w:after="0" w:line="240" w:lineRule="auto"/>
              <w:jc w:val="right"/>
              <w:rPr>
                <w:rFonts w:ascii="Calibri" w:hAnsi="Calibri"/>
              </w:rPr>
            </w:pPr>
            <w:r w:rsidRPr="00C171EA">
              <w:rPr>
                <w:rFonts w:ascii="Calibri" w:hAnsi="Calibri"/>
              </w:rPr>
              <w:t>4000</w:t>
            </w:r>
          </w:p>
        </w:tc>
        <w:tc>
          <w:tcPr>
            <w:tcW w:w="992" w:type="dxa"/>
            <w:shd w:val="clear" w:color="auto" w:fill="auto"/>
            <w:noWrap/>
            <w:vAlign w:val="bottom"/>
            <w:hideMark/>
          </w:tcPr>
          <w:p w14:paraId="66F5D9C2" w14:textId="77777777" w:rsidR="00EA5D94" w:rsidRPr="00C171EA" w:rsidRDefault="00EA5D94" w:rsidP="002F3D99">
            <w:pPr>
              <w:spacing w:after="0" w:line="240" w:lineRule="auto"/>
              <w:jc w:val="right"/>
              <w:rPr>
                <w:rFonts w:ascii="Calibri" w:hAnsi="Calibri"/>
              </w:rPr>
            </w:pPr>
            <w:r w:rsidRPr="00C171EA">
              <w:rPr>
                <w:rFonts w:ascii="Calibri" w:hAnsi="Calibri"/>
              </w:rPr>
              <w:t>702</w:t>
            </w:r>
          </w:p>
        </w:tc>
        <w:tc>
          <w:tcPr>
            <w:tcW w:w="1023" w:type="dxa"/>
            <w:shd w:val="clear" w:color="auto" w:fill="auto"/>
            <w:noWrap/>
            <w:vAlign w:val="bottom"/>
            <w:hideMark/>
          </w:tcPr>
          <w:p w14:paraId="00AFD1CE"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741075A5"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367E226B"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6374B723" w14:textId="77777777" w:rsidTr="00B90D8F">
        <w:trPr>
          <w:trHeight w:val="288"/>
        </w:trPr>
        <w:tc>
          <w:tcPr>
            <w:tcW w:w="836" w:type="dxa"/>
            <w:shd w:val="clear" w:color="auto" w:fill="auto"/>
            <w:noWrap/>
            <w:vAlign w:val="bottom"/>
            <w:hideMark/>
          </w:tcPr>
          <w:p w14:paraId="052F59F7" w14:textId="77777777" w:rsidR="00EA5D94" w:rsidRPr="00C171EA" w:rsidRDefault="00EA5D94" w:rsidP="002F3D99">
            <w:pPr>
              <w:spacing w:after="0" w:line="240" w:lineRule="auto"/>
              <w:jc w:val="right"/>
              <w:rPr>
                <w:rFonts w:ascii="Calibri" w:hAnsi="Calibri"/>
              </w:rPr>
            </w:pPr>
            <w:r w:rsidRPr="00C171EA">
              <w:rPr>
                <w:rFonts w:ascii="Calibri" w:hAnsi="Calibri"/>
              </w:rPr>
              <w:t>2001</w:t>
            </w:r>
          </w:p>
        </w:tc>
        <w:tc>
          <w:tcPr>
            <w:tcW w:w="1023" w:type="dxa"/>
            <w:shd w:val="clear" w:color="auto" w:fill="auto"/>
            <w:noWrap/>
            <w:vAlign w:val="bottom"/>
            <w:hideMark/>
          </w:tcPr>
          <w:p w14:paraId="049B0577" w14:textId="77777777" w:rsidR="00EA5D94" w:rsidRPr="00C171EA" w:rsidRDefault="00EA5D94" w:rsidP="002F3D99">
            <w:pPr>
              <w:spacing w:after="0" w:line="240" w:lineRule="auto"/>
              <w:jc w:val="right"/>
              <w:rPr>
                <w:rFonts w:ascii="Calibri" w:hAnsi="Calibri"/>
              </w:rPr>
            </w:pPr>
            <w:r w:rsidRPr="00C171EA">
              <w:rPr>
                <w:rFonts w:ascii="Calibri" w:hAnsi="Calibri"/>
              </w:rPr>
              <w:t>28000</w:t>
            </w:r>
          </w:p>
        </w:tc>
        <w:tc>
          <w:tcPr>
            <w:tcW w:w="851" w:type="dxa"/>
            <w:shd w:val="clear" w:color="auto" w:fill="auto"/>
            <w:noWrap/>
            <w:vAlign w:val="bottom"/>
            <w:hideMark/>
          </w:tcPr>
          <w:p w14:paraId="4A2D6A91" w14:textId="77777777" w:rsidR="00EA5D94" w:rsidRPr="00C171EA" w:rsidRDefault="00EA5D94" w:rsidP="002F3D99">
            <w:pPr>
              <w:spacing w:after="0" w:line="240" w:lineRule="auto"/>
              <w:jc w:val="right"/>
              <w:rPr>
                <w:rFonts w:ascii="Calibri" w:hAnsi="Calibri"/>
              </w:rPr>
            </w:pPr>
            <w:r w:rsidRPr="00C171EA">
              <w:rPr>
                <w:rFonts w:ascii="Calibri" w:hAnsi="Calibri"/>
              </w:rPr>
              <w:t>4800</w:t>
            </w:r>
          </w:p>
        </w:tc>
        <w:tc>
          <w:tcPr>
            <w:tcW w:w="1113" w:type="dxa"/>
            <w:shd w:val="clear" w:color="auto" w:fill="auto"/>
            <w:noWrap/>
            <w:vAlign w:val="bottom"/>
            <w:hideMark/>
          </w:tcPr>
          <w:p w14:paraId="4B5E0954" w14:textId="77777777" w:rsidR="00EA5D94" w:rsidRPr="00C171EA" w:rsidRDefault="00EA5D94" w:rsidP="002F3D99">
            <w:pPr>
              <w:spacing w:after="0" w:line="240" w:lineRule="auto"/>
              <w:jc w:val="right"/>
              <w:rPr>
                <w:rFonts w:ascii="Calibri" w:hAnsi="Calibri"/>
              </w:rPr>
            </w:pPr>
            <w:r w:rsidRPr="00C171EA">
              <w:rPr>
                <w:rFonts w:ascii="Calibri" w:hAnsi="Calibri"/>
              </w:rPr>
              <w:t>171</w:t>
            </w:r>
          </w:p>
        </w:tc>
        <w:tc>
          <w:tcPr>
            <w:tcW w:w="1023" w:type="dxa"/>
            <w:shd w:val="clear" w:color="auto" w:fill="auto"/>
            <w:noWrap/>
            <w:vAlign w:val="bottom"/>
            <w:hideMark/>
          </w:tcPr>
          <w:p w14:paraId="7198AE62" w14:textId="77777777" w:rsidR="00EA5D94" w:rsidRPr="00C171EA" w:rsidRDefault="00EA5D94" w:rsidP="002F3D99">
            <w:pPr>
              <w:spacing w:after="0" w:line="240" w:lineRule="auto"/>
              <w:jc w:val="right"/>
              <w:rPr>
                <w:rFonts w:ascii="Calibri" w:hAnsi="Calibri"/>
              </w:rPr>
            </w:pPr>
            <w:r w:rsidRPr="00C171EA">
              <w:rPr>
                <w:rFonts w:ascii="Calibri" w:hAnsi="Calibri"/>
              </w:rPr>
              <w:t>7600</w:t>
            </w:r>
          </w:p>
        </w:tc>
        <w:tc>
          <w:tcPr>
            <w:tcW w:w="1245" w:type="dxa"/>
            <w:shd w:val="clear" w:color="auto" w:fill="auto"/>
            <w:noWrap/>
            <w:vAlign w:val="bottom"/>
            <w:hideMark/>
          </w:tcPr>
          <w:p w14:paraId="0966E1C3" w14:textId="77777777" w:rsidR="00EA5D94" w:rsidRPr="00C171EA" w:rsidRDefault="00EA5D94" w:rsidP="002F3D99">
            <w:pPr>
              <w:spacing w:after="0" w:line="240" w:lineRule="auto"/>
              <w:jc w:val="right"/>
              <w:rPr>
                <w:rFonts w:ascii="Calibri" w:hAnsi="Calibri"/>
              </w:rPr>
            </w:pPr>
            <w:r w:rsidRPr="00C171EA">
              <w:rPr>
                <w:rFonts w:ascii="Calibri" w:hAnsi="Calibri"/>
              </w:rPr>
              <w:t>5500</w:t>
            </w:r>
          </w:p>
        </w:tc>
        <w:tc>
          <w:tcPr>
            <w:tcW w:w="992" w:type="dxa"/>
            <w:shd w:val="clear" w:color="auto" w:fill="auto"/>
            <w:noWrap/>
            <w:vAlign w:val="bottom"/>
            <w:hideMark/>
          </w:tcPr>
          <w:p w14:paraId="4AEFA891" w14:textId="77777777" w:rsidR="00EA5D94" w:rsidRPr="00C171EA" w:rsidRDefault="00EA5D94" w:rsidP="002F3D99">
            <w:pPr>
              <w:spacing w:after="0" w:line="240" w:lineRule="auto"/>
              <w:jc w:val="right"/>
              <w:rPr>
                <w:rFonts w:ascii="Calibri" w:hAnsi="Calibri"/>
              </w:rPr>
            </w:pPr>
            <w:r w:rsidRPr="00C171EA">
              <w:rPr>
                <w:rFonts w:ascii="Calibri" w:hAnsi="Calibri"/>
              </w:rPr>
              <w:t>724</w:t>
            </w:r>
          </w:p>
        </w:tc>
        <w:tc>
          <w:tcPr>
            <w:tcW w:w="1023" w:type="dxa"/>
            <w:shd w:val="clear" w:color="auto" w:fill="auto"/>
            <w:noWrap/>
            <w:vAlign w:val="bottom"/>
            <w:hideMark/>
          </w:tcPr>
          <w:p w14:paraId="67229B64"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35B02791"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41EAB028"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283F0E24" w14:textId="77777777" w:rsidTr="00B90D8F">
        <w:trPr>
          <w:trHeight w:val="288"/>
        </w:trPr>
        <w:tc>
          <w:tcPr>
            <w:tcW w:w="836" w:type="dxa"/>
            <w:shd w:val="clear" w:color="auto" w:fill="auto"/>
            <w:noWrap/>
            <w:vAlign w:val="bottom"/>
            <w:hideMark/>
          </w:tcPr>
          <w:p w14:paraId="0FA293EF" w14:textId="77777777" w:rsidR="00EA5D94" w:rsidRPr="00C171EA" w:rsidRDefault="00EA5D94" w:rsidP="002F3D99">
            <w:pPr>
              <w:spacing w:after="0" w:line="240" w:lineRule="auto"/>
              <w:jc w:val="right"/>
              <w:rPr>
                <w:rFonts w:ascii="Calibri" w:hAnsi="Calibri"/>
              </w:rPr>
            </w:pPr>
            <w:r w:rsidRPr="00C171EA">
              <w:rPr>
                <w:rFonts w:ascii="Calibri" w:hAnsi="Calibri"/>
              </w:rPr>
              <w:t>2002</w:t>
            </w:r>
          </w:p>
        </w:tc>
        <w:tc>
          <w:tcPr>
            <w:tcW w:w="1023" w:type="dxa"/>
            <w:shd w:val="clear" w:color="auto" w:fill="auto"/>
            <w:noWrap/>
            <w:vAlign w:val="bottom"/>
            <w:hideMark/>
          </w:tcPr>
          <w:p w14:paraId="6B11DF9C" w14:textId="77777777" w:rsidR="00EA5D94" w:rsidRPr="00C171EA" w:rsidRDefault="00EA5D94" w:rsidP="002F3D99">
            <w:pPr>
              <w:spacing w:after="0" w:line="240" w:lineRule="auto"/>
              <w:jc w:val="right"/>
              <w:rPr>
                <w:rFonts w:ascii="Calibri" w:hAnsi="Calibri"/>
              </w:rPr>
            </w:pPr>
            <w:r w:rsidRPr="00C171EA">
              <w:rPr>
                <w:rFonts w:ascii="Calibri" w:hAnsi="Calibri"/>
              </w:rPr>
              <w:t>30000</w:t>
            </w:r>
          </w:p>
        </w:tc>
        <w:tc>
          <w:tcPr>
            <w:tcW w:w="851" w:type="dxa"/>
            <w:shd w:val="clear" w:color="auto" w:fill="auto"/>
            <w:noWrap/>
            <w:vAlign w:val="bottom"/>
            <w:hideMark/>
          </w:tcPr>
          <w:p w14:paraId="27BC4ED2" w14:textId="77777777" w:rsidR="00EA5D94" w:rsidRPr="00C171EA" w:rsidRDefault="00EA5D94" w:rsidP="002F3D99">
            <w:pPr>
              <w:spacing w:after="0" w:line="240" w:lineRule="auto"/>
              <w:jc w:val="right"/>
              <w:rPr>
                <w:rFonts w:ascii="Calibri" w:hAnsi="Calibri"/>
              </w:rPr>
            </w:pPr>
            <w:r w:rsidRPr="00C171EA">
              <w:rPr>
                <w:rFonts w:ascii="Calibri" w:hAnsi="Calibri"/>
              </w:rPr>
              <w:t>5100</w:t>
            </w:r>
          </w:p>
        </w:tc>
        <w:tc>
          <w:tcPr>
            <w:tcW w:w="1113" w:type="dxa"/>
            <w:shd w:val="clear" w:color="auto" w:fill="auto"/>
            <w:noWrap/>
            <w:vAlign w:val="bottom"/>
            <w:hideMark/>
          </w:tcPr>
          <w:p w14:paraId="7E289E89" w14:textId="77777777" w:rsidR="00EA5D94" w:rsidRPr="00C171EA" w:rsidRDefault="00EA5D94" w:rsidP="002F3D99">
            <w:pPr>
              <w:spacing w:after="0" w:line="240" w:lineRule="auto"/>
              <w:jc w:val="right"/>
              <w:rPr>
                <w:rFonts w:ascii="Calibri" w:hAnsi="Calibri"/>
              </w:rPr>
            </w:pPr>
            <w:r w:rsidRPr="00C171EA">
              <w:rPr>
                <w:rFonts w:ascii="Calibri" w:hAnsi="Calibri"/>
              </w:rPr>
              <w:t>171</w:t>
            </w:r>
          </w:p>
        </w:tc>
        <w:tc>
          <w:tcPr>
            <w:tcW w:w="1023" w:type="dxa"/>
            <w:shd w:val="clear" w:color="auto" w:fill="auto"/>
            <w:noWrap/>
            <w:vAlign w:val="bottom"/>
            <w:hideMark/>
          </w:tcPr>
          <w:p w14:paraId="7756DC36" w14:textId="77777777" w:rsidR="00EA5D94" w:rsidRPr="00C171EA" w:rsidRDefault="00EA5D94" w:rsidP="002F3D99">
            <w:pPr>
              <w:spacing w:after="0" w:line="240" w:lineRule="auto"/>
              <w:jc w:val="right"/>
              <w:rPr>
                <w:rFonts w:ascii="Calibri" w:hAnsi="Calibri"/>
              </w:rPr>
            </w:pPr>
            <w:r w:rsidRPr="00C171EA">
              <w:rPr>
                <w:rFonts w:ascii="Calibri" w:hAnsi="Calibri"/>
              </w:rPr>
              <w:t>15707</w:t>
            </w:r>
          </w:p>
        </w:tc>
        <w:tc>
          <w:tcPr>
            <w:tcW w:w="1245" w:type="dxa"/>
            <w:shd w:val="clear" w:color="auto" w:fill="auto"/>
            <w:noWrap/>
            <w:vAlign w:val="bottom"/>
            <w:hideMark/>
          </w:tcPr>
          <w:p w14:paraId="5A4AF9ED" w14:textId="77777777" w:rsidR="00EA5D94" w:rsidRPr="00C171EA" w:rsidRDefault="00EA5D94" w:rsidP="002F3D99">
            <w:pPr>
              <w:spacing w:after="0" w:line="240" w:lineRule="auto"/>
              <w:jc w:val="right"/>
              <w:rPr>
                <w:rFonts w:ascii="Calibri" w:hAnsi="Calibri"/>
              </w:rPr>
            </w:pPr>
            <w:r w:rsidRPr="00C171EA">
              <w:rPr>
                <w:rFonts w:ascii="Calibri" w:hAnsi="Calibri"/>
              </w:rPr>
              <w:t>9116</w:t>
            </w:r>
          </w:p>
        </w:tc>
        <w:tc>
          <w:tcPr>
            <w:tcW w:w="992" w:type="dxa"/>
            <w:shd w:val="clear" w:color="auto" w:fill="auto"/>
            <w:noWrap/>
            <w:vAlign w:val="bottom"/>
            <w:hideMark/>
          </w:tcPr>
          <w:p w14:paraId="0962F21C" w14:textId="77777777" w:rsidR="00EA5D94" w:rsidRPr="00C171EA" w:rsidRDefault="00EA5D94" w:rsidP="002F3D99">
            <w:pPr>
              <w:spacing w:after="0" w:line="240" w:lineRule="auto"/>
              <w:jc w:val="right"/>
              <w:rPr>
                <w:rFonts w:ascii="Calibri" w:hAnsi="Calibri"/>
              </w:rPr>
            </w:pPr>
            <w:r w:rsidRPr="00C171EA">
              <w:rPr>
                <w:rFonts w:ascii="Calibri" w:hAnsi="Calibri"/>
              </w:rPr>
              <w:t>530</w:t>
            </w:r>
          </w:p>
        </w:tc>
        <w:tc>
          <w:tcPr>
            <w:tcW w:w="1023" w:type="dxa"/>
            <w:shd w:val="clear" w:color="auto" w:fill="auto"/>
            <w:noWrap/>
            <w:vAlign w:val="bottom"/>
            <w:hideMark/>
          </w:tcPr>
          <w:p w14:paraId="33EEDD10"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6DA36DD3"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31B92EA4"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45B2BD04" w14:textId="77777777" w:rsidTr="00B90D8F">
        <w:trPr>
          <w:trHeight w:val="288"/>
        </w:trPr>
        <w:tc>
          <w:tcPr>
            <w:tcW w:w="836" w:type="dxa"/>
            <w:shd w:val="clear" w:color="auto" w:fill="auto"/>
            <w:noWrap/>
            <w:vAlign w:val="bottom"/>
            <w:hideMark/>
          </w:tcPr>
          <w:p w14:paraId="160E3646" w14:textId="77777777" w:rsidR="00EA5D94" w:rsidRPr="00C171EA" w:rsidRDefault="00EA5D94" w:rsidP="002F3D99">
            <w:pPr>
              <w:spacing w:after="0" w:line="240" w:lineRule="auto"/>
              <w:jc w:val="right"/>
              <w:rPr>
                <w:rFonts w:ascii="Calibri" w:hAnsi="Calibri"/>
              </w:rPr>
            </w:pPr>
            <w:r w:rsidRPr="00C171EA">
              <w:rPr>
                <w:rFonts w:ascii="Calibri" w:hAnsi="Calibri"/>
              </w:rPr>
              <w:t>2003</w:t>
            </w:r>
          </w:p>
        </w:tc>
        <w:tc>
          <w:tcPr>
            <w:tcW w:w="1023" w:type="dxa"/>
            <w:shd w:val="clear" w:color="auto" w:fill="auto"/>
            <w:noWrap/>
            <w:vAlign w:val="bottom"/>
            <w:hideMark/>
          </w:tcPr>
          <w:p w14:paraId="3A44E1F0" w14:textId="77777777" w:rsidR="00EA5D94" w:rsidRPr="00C171EA" w:rsidRDefault="00EA5D94" w:rsidP="002F3D99">
            <w:pPr>
              <w:spacing w:after="0" w:line="240" w:lineRule="auto"/>
              <w:jc w:val="right"/>
              <w:rPr>
                <w:rFonts w:ascii="Calibri" w:hAnsi="Calibri"/>
              </w:rPr>
            </w:pPr>
            <w:r w:rsidRPr="00C171EA">
              <w:rPr>
                <w:rFonts w:ascii="Calibri" w:hAnsi="Calibri"/>
              </w:rPr>
              <w:t>12000</w:t>
            </w:r>
          </w:p>
        </w:tc>
        <w:tc>
          <w:tcPr>
            <w:tcW w:w="851" w:type="dxa"/>
            <w:shd w:val="clear" w:color="auto" w:fill="auto"/>
            <w:noWrap/>
            <w:vAlign w:val="bottom"/>
            <w:hideMark/>
          </w:tcPr>
          <w:p w14:paraId="7F9C8B1A" w14:textId="77777777" w:rsidR="00EA5D94" w:rsidRPr="00C171EA" w:rsidRDefault="00EA5D94" w:rsidP="002F3D99">
            <w:pPr>
              <w:spacing w:after="0" w:line="240" w:lineRule="auto"/>
              <w:jc w:val="right"/>
              <w:rPr>
                <w:rFonts w:ascii="Calibri" w:hAnsi="Calibri"/>
              </w:rPr>
            </w:pPr>
            <w:r w:rsidRPr="00C171EA">
              <w:rPr>
                <w:rFonts w:ascii="Calibri" w:hAnsi="Calibri"/>
              </w:rPr>
              <w:t>2500</w:t>
            </w:r>
          </w:p>
        </w:tc>
        <w:tc>
          <w:tcPr>
            <w:tcW w:w="1113" w:type="dxa"/>
            <w:shd w:val="clear" w:color="auto" w:fill="auto"/>
            <w:noWrap/>
            <w:vAlign w:val="bottom"/>
            <w:hideMark/>
          </w:tcPr>
          <w:p w14:paraId="33915942" w14:textId="77777777" w:rsidR="00EA5D94" w:rsidRPr="00C171EA" w:rsidRDefault="00EA5D94" w:rsidP="002F3D99">
            <w:pPr>
              <w:spacing w:after="0" w:line="240" w:lineRule="auto"/>
              <w:jc w:val="right"/>
              <w:rPr>
                <w:rFonts w:ascii="Calibri" w:hAnsi="Calibri"/>
              </w:rPr>
            </w:pPr>
            <w:r w:rsidRPr="00C171EA">
              <w:rPr>
                <w:rFonts w:ascii="Calibri" w:hAnsi="Calibri"/>
              </w:rPr>
              <w:t>208</w:t>
            </w:r>
          </w:p>
        </w:tc>
        <w:tc>
          <w:tcPr>
            <w:tcW w:w="1023" w:type="dxa"/>
            <w:shd w:val="clear" w:color="auto" w:fill="auto"/>
            <w:noWrap/>
            <w:vAlign w:val="bottom"/>
            <w:hideMark/>
          </w:tcPr>
          <w:p w14:paraId="6A1A19B5" w14:textId="77777777" w:rsidR="00EA5D94" w:rsidRPr="00C171EA" w:rsidRDefault="00EA5D94" w:rsidP="002F3D99">
            <w:pPr>
              <w:spacing w:after="0" w:line="240" w:lineRule="auto"/>
              <w:jc w:val="right"/>
              <w:rPr>
                <w:rFonts w:ascii="Calibri" w:hAnsi="Calibri"/>
              </w:rPr>
            </w:pPr>
            <w:r w:rsidRPr="00C171EA">
              <w:rPr>
                <w:rFonts w:ascii="Calibri" w:hAnsi="Calibri"/>
              </w:rPr>
              <w:t>5000</w:t>
            </w:r>
          </w:p>
        </w:tc>
        <w:tc>
          <w:tcPr>
            <w:tcW w:w="1245" w:type="dxa"/>
            <w:shd w:val="clear" w:color="auto" w:fill="auto"/>
            <w:noWrap/>
            <w:vAlign w:val="bottom"/>
            <w:hideMark/>
          </w:tcPr>
          <w:p w14:paraId="065921B4" w14:textId="77777777" w:rsidR="00EA5D94" w:rsidRPr="00C171EA" w:rsidRDefault="00EA5D94" w:rsidP="002F3D99">
            <w:pPr>
              <w:spacing w:after="0" w:line="240" w:lineRule="auto"/>
              <w:jc w:val="right"/>
              <w:rPr>
                <w:rFonts w:ascii="Calibri" w:hAnsi="Calibri"/>
              </w:rPr>
            </w:pPr>
            <w:r w:rsidRPr="00C171EA">
              <w:rPr>
                <w:rFonts w:ascii="Calibri" w:hAnsi="Calibri"/>
              </w:rPr>
              <w:t>3000</w:t>
            </w:r>
          </w:p>
        </w:tc>
        <w:tc>
          <w:tcPr>
            <w:tcW w:w="992" w:type="dxa"/>
            <w:shd w:val="clear" w:color="auto" w:fill="auto"/>
            <w:noWrap/>
            <w:vAlign w:val="bottom"/>
            <w:hideMark/>
          </w:tcPr>
          <w:p w14:paraId="246EADEA" w14:textId="77777777" w:rsidR="00EA5D94" w:rsidRPr="00C171EA" w:rsidRDefault="00EA5D94" w:rsidP="002F3D99">
            <w:pPr>
              <w:spacing w:after="0" w:line="240" w:lineRule="auto"/>
              <w:jc w:val="right"/>
              <w:rPr>
                <w:rFonts w:ascii="Calibri" w:hAnsi="Calibri"/>
              </w:rPr>
            </w:pPr>
            <w:r w:rsidRPr="00C171EA">
              <w:rPr>
                <w:rFonts w:ascii="Calibri" w:hAnsi="Calibri"/>
              </w:rPr>
              <w:t>600</w:t>
            </w:r>
          </w:p>
        </w:tc>
        <w:tc>
          <w:tcPr>
            <w:tcW w:w="1023" w:type="dxa"/>
            <w:shd w:val="clear" w:color="auto" w:fill="auto"/>
            <w:noWrap/>
            <w:vAlign w:val="bottom"/>
            <w:hideMark/>
          </w:tcPr>
          <w:p w14:paraId="4512B456"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799D2845"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1D1EE7E3"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5155A364" w14:textId="77777777" w:rsidTr="00B90D8F">
        <w:trPr>
          <w:trHeight w:val="288"/>
        </w:trPr>
        <w:tc>
          <w:tcPr>
            <w:tcW w:w="836" w:type="dxa"/>
            <w:shd w:val="clear" w:color="auto" w:fill="auto"/>
            <w:noWrap/>
            <w:vAlign w:val="bottom"/>
            <w:hideMark/>
          </w:tcPr>
          <w:p w14:paraId="750A1C37" w14:textId="77777777" w:rsidR="00EA5D94" w:rsidRPr="00C171EA" w:rsidRDefault="00EA5D94" w:rsidP="002F3D99">
            <w:pPr>
              <w:spacing w:after="0" w:line="240" w:lineRule="auto"/>
              <w:jc w:val="right"/>
              <w:rPr>
                <w:rFonts w:ascii="Calibri" w:hAnsi="Calibri"/>
              </w:rPr>
            </w:pPr>
            <w:r w:rsidRPr="00C171EA">
              <w:rPr>
                <w:rFonts w:ascii="Calibri" w:hAnsi="Calibri"/>
              </w:rPr>
              <w:t>2004</w:t>
            </w:r>
          </w:p>
        </w:tc>
        <w:tc>
          <w:tcPr>
            <w:tcW w:w="1023" w:type="dxa"/>
            <w:shd w:val="clear" w:color="auto" w:fill="auto"/>
            <w:noWrap/>
            <w:vAlign w:val="bottom"/>
            <w:hideMark/>
          </w:tcPr>
          <w:p w14:paraId="1FE95B0D" w14:textId="77777777" w:rsidR="00EA5D94" w:rsidRPr="00C171EA" w:rsidRDefault="00EA5D94" w:rsidP="002F3D99">
            <w:pPr>
              <w:spacing w:after="0" w:line="240" w:lineRule="auto"/>
              <w:jc w:val="right"/>
              <w:rPr>
                <w:rFonts w:ascii="Calibri" w:hAnsi="Calibri"/>
              </w:rPr>
            </w:pPr>
            <w:r w:rsidRPr="00C171EA">
              <w:rPr>
                <w:rFonts w:ascii="Calibri" w:hAnsi="Calibri"/>
              </w:rPr>
              <w:t>9000</w:t>
            </w:r>
          </w:p>
        </w:tc>
        <w:tc>
          <w:tcPr>
            <w:tcW w:w="851" w:type="dxa"/>
            <w:shd w:val="clear" w:color="auto" w:fill="auto"/>
            <w:noWrap/>
            <w:vAlign w:val="bottom"/>
            <w:hideMark/>
          </w:tcPr>
          <w:p w14:paraId="5656B8F2" w14:textId="77777777" w:rsidR="00EA5D94" w:rsidRPr="00C171EA" w:rsidRDefault="00EA5D94" w:rsidP="002F3D99">
            <w:pPr>
              <w:spacing w:after="0" w:line="240" w:lineRule="auto"/>
              <w:jc w:val="right"/>
              <w:rPr>
                <w:rFonts w:ascii="Calibri" w:hAnsi="Calibri"/>
              </w:rPr>
            </w:pPr>
            <w:r w:rsidRPr="00C171EA">
              <w:rPr>
                <w:rFonts w:ascii="Calibri" w:hAnsi="Calibri"/>
              </w:rPr>
              <w:t>2100</w:t>
            </w:r>
          </w:p>
        </w:tc>
        <w:tc>
          <w:tcPr>
            <w:tcW w:w="1113" w:type="dxa"/>
            <w:shd w:val="clear" w:color="auto" w:fill="auto"/>
            <w:noWrap/>
            <w:vAlign w:val="bottom"/>
            <w:hideMark/>
          </w:tcPr>
          <w:p w14:paraId="5801F0BB" w14:textId="77777777" w:rsidR="00EA5D94" w:rsidRPr="00C171EA" w:rsidRDefault="00EA5D94" w:rsidP="002F3D99">
            <w:pPr>
              <w:spacing w:after="0" w:line="240" w:lineRule="auto"/>
              <w:jc w:val="right"/>
              <w:rPr>
                <w:rFonts w:ascii="Calibri" w:hAnsi="Calibri"/>
              </w:rPr>
            </w:pPr>
            <w:r w:rsidRPr="00C171EA">
              <w:rPr>
                <w:rFonts w:ascii="Calibri" w:hAnsi="Calibri"/>
              </w:rPr>
              <w:t>233</w:t>
            </w:r>
          </w:p>
        </w:tc>
        <w:tc>
          <w:tcPr>
            <w:tcW w:w="1023" w:type="dxa"/>
            <w:shd w:val="clear" w:color="auto" w:fill="auto"/>
            <w:noWrap/>
            <w:vAlign w:val="bottom"/>
            <w:hideMark/>
          </w:tcPr>
          <w:p w14:paraId="5D7D2773" w14:textId="77777777" w:rsidR="00EA5D94" w:rsidRPr="00C171EA" w:rsidRDefault="00EA5D94" w:rsidP="002F3D99">
            <w:pPr>
              <w:spacing w:after="0" w:line="240" w:lineRule="auto"/>
              <w:jc w:val="right"/>
              <w:rPr>
                <w:rFonts w:ascii="Calibri" w:hAnsi="Calibri"/>
              </w:rPr>
            </w:pPr>
            <w:r w:rsidRPr="00C171EA">
              <w:rPr>
                <w:rFonts w:ascii="Calibri" w:hAnsi="Calibri"/>
              </w:rPr>
              <w:t>7200</w:t>
            </w:r>
          </w:p>
        </w:tc>
        <w:tc>
          <w:tcPr>
            <w:tcW w:w="1245" w:type="dxa"/>
            <w:shd w:val="clear" w:color="auto" w:fill="auto"/>
            <w:noWrap/>
            <w:vAlign w:val="bottom"/>
            <w:hideMark/>
          </w:tcPr>
          <w:p w14:paraId="255F47BD" w14:textId="77777777" w:rsidR="00EA5D94" w:rsidRPr="00C171EA" w:rsidRDefault="00EA5D94" w:rsidP="002F3D99">
            <w:pPr>
              <w:spacing w:after="0" w:line="240" w:lineRule="auto"/>
              <w:jc w:val="right"/>
              <w:rPr>
                <w:rFonts w:ascii="Calibri" w:hAnsi="Calibri"/>
              </w:rPr>
            </w:pPr>
            <w:r w:rsidRPr="00C171EA">
              <w:rPr>
                <w:rFonts w:ascii="Calibri" w:hAnsi="Calibri"/>
              </w:rPr>
              <w:t>4500</w:t>
            </w:r>
          </w:p>
        </w:tc>
        <w:tc>
          <w:tcPr>
            <w:tcW w:w="992" w:type="dxa"/>
            <w:shd w:val="clear" w:color="auto" w:fill="auto"/>
            <w:noWrap/>
            <w:vAlign w:val="bottom"/>
            <w:hideMark/>
          </w:tcPr>
          <w:p w14:paraId="534FD2C9" w14:textId="77777777" w:rsidR="00EA5D94" w:rsidRPr="00C171EA" w:rsidRDefault="00EA5D94" w:rsidP="002F3D99">
            <w:pPr>
              <w:spacing w:after="0" w:line="240" w:lineRule="auto"/>
              <w:jc w:val="right"/>
              <w:rPr>
                <w:rFonts w:ascii="Calibri" w:hAnsi="Calibri"/>
              </w:rPr>
            </w:pPr>
            <w:r w:rsidRPr="00C171EA">
              <w:rPr>
                <w:rFonts w:ascii="Calibri" w:hAnsi="Calibri"/>
              </w:rPr>
              <w:t>625</w:t>
            </w:r>
          </w:p>
        </w:tc>
        <w:tc>
          <w:tcPr>
            <w:tcW w:w="1023" w:type="dxa"/>
            <w:shd w:val="clear" w:color="auto" w:fill="auto"/>
            <w:noWrap/>
            <w:vAlign w:val="bottom"/>
            <w:hideMark/>
          </w:tcPr>
          <w:p w14:paraId="38563A8B"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5F10B1F3"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1E878DBF"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71FE9F11" w14:textId="77777777" w:rsidTr="00B90D8F">
        <w:trPr>
          <w:trHeight w:val="288"/>
        </w:trPr>
        <w:tc>
          <w:tcPr>
            <w:tcW w:w="836" w:type="dxa"/>
            <w:shd w:val="clear" w:color="auto" w:fill="auto"/>
            <w:noWrap/>
            <w:vAlign w:val="bottom"/>
            <w:hideMark/>
          </w:tcPr>
          <w:p w14:paraId="5D6A0659" w14:textId="77777777" w:rsidR="00EA5D94" w:rsidRPr="00C171EA" w:rsidRDefault="00EA5D94" w:rsidP="002F3D99">
            <w:pPr>
              <w:spacing w:after="0" w:line="240" w:lineRule="auto"/>
              <w:jc w:val="right"/>
              <w:rPr>
                <w:rFonts w:ascii="Calibri" w:hAnsi="Calibri"/>
              </w:rPr>
            </w:pPr>
            <w:r w:rsidRPr="00C171EA">
              <w:rPr>
                <w:rFonts w:ascii="Calibri" w:hAnsi="Calibri"/>
              </w:rPr>
              <w:t>2005</w:t>
            </w:r>
          </w:p>
        </w:tc>
        <w:tc>
          <w:tcPr>
            <w:tcW w:w="1023" w:type="dxa"/>
            <w:shd w:val="clear" w:color="auto" w:fill="auto"/>
            <w:noWrap/>
            <w:vAlign w:val="bottom"/>
            <w:hideMark/>
          </w:tcPr>
          <w:p w14:paraId="47826810" w14:textId="77777777" w:rsidR="00EA5D94" w:rsidRPr="00C171EA" w:rsidRDefault="00EA5D94" w:rsidP="002F3D99">
            <w:pPr>
              <w:spacing w:after="0" w:line="240" w:lineRule="auto"/>
              <w:jc w:val="right"/>
              <w:rPr>
                <w:rFonts w:ascii="Calibri" w:hAnsi="Calibri"/>
              </w:rPr>
            </w:pPr>
            <w:r w:rsidRPr="00C171EA">
              <w:rPr>
                <w:rFonts w:ascii="Calibri" w:hAnsi="Calibri"/>
              </w:rPr>
              <w:t>20000</w:t>
            </w:r>
          </w:p>
        </w:tc>
        <w:tc>
          <w:tcPr>
            <w:tcW w:w="851" w:type="dxa"/>
            <w:shd w:val="clear" w:color="auto" w:fill="auto"/>
            <w:noWrap/>
            <w:vAlign w:val="bottom"/>
            <w:hideMark/>
          </w:tcPr>
          <w:p w14:paraId="70DEFE95" w14:textId="77777777" w:rsidR="00EA5D94" w:rsidRPr="00C171EA" w:rsidRDefault="00EA5D94" w:rsidP="002F3D99">
            <w:pPr>
              <w:spacing w:after="0" w:line="240" w:lineRule="auto"/>
              <w:jc w:val="right"/>
              <w:rPr>
                <w:rFonts w:ascii="Calibri" w:hAnsi="Calibri"/>
              </w:rPr>
            </w:pPr>
            <w:r w:rsidRPr="00C171EA">
              <w:rPr>
                <w:rFonts w:ascii="Calibri" w:hAnsi="Calibri"/>
              </w:rPr>
              <w:t>5000</w:t>
            </w:r>
          </w:p>
        </w:tc>
        <w:tc>
          <w:tcPr>
            <w:tcW w:w="1113" w:type="dxa"/>
            <w:shd w:val="clear" w:color="auto" w:fill="auto"/>
            <w:noWrap/>
            <w:vAlign w:val="bottom"/>
            <w:hideMark/>
          </w:tcPr>
          <w:p w14:paraId="35D992FD" w14:textId="77777777" w:rsidR="00EA5D94" w:rsidRPr="00C171EA" w:rsidRDefault="00EA5D94" w:rsidP="002F3D99">
            <w:pPr>
              <w:spacing w:after="0" w:line="240" w:lineRule="auto"/>
              <w:jc w:val="right"/>
              <w:rPr>
                <w:rFonts w:ascii="Calibri" w:hAnsi="Calibri"/>
              </w:rPr>
            </w:pPr>
            <w:r w:rsidRPr="00C171EA">
              <w:rPr>
                <w:rFonts w:ascii="Calibri" w:hAnsi="Calibri"/>
              </w:rPr>
              <w:t>250</w:t>
            </w:r>
          </w:p>
        </w:tc>
        <w:tc>
          <w:tcPr>
            <w:tcW w:w="1023" w:type="dxa"/>
            <w:shd w:val="clear" w:color="auto" w:fill="auto"/>
            <w:noWrap/>
            <w:vAlign w:val="bottom"/>
            <w:hideMark/>
          </w:tcPr>
          <w:p w14:paraId="76E8CD4C" w14:textId="77777777" w:rsidR="00EA5D94" w:rsidRPr="00C171EA" w:rsidRDefault="00EA5D94" w:rsidP="002F3D99">
            <w:pPr>
              <w:spacing w:after="0" w:line="240" w:lineRule="auto"/>
              <w:jc w:val="right"/>
              <w:rPr>
                <w:rFonts w:ascii="Calibri" w:hAnsi="Calibri"/>
              </w:rPr>
            </w:pPr>
            <w:r w:rsidRPr="00C171EA">
              <w:rPr>
                <w:rFonts w:ascii="Calibri" w:hAnsi="Calibri"/>
              </w:rPr>
              <w:t>800</w:t>
            </w:r>
          </w:p>
        </w:tc>
        <w:tc>
          <w:tcPr>
            <w:tcW w:w="1245" w:type="dxa"/>
            <w:shd w:val="clear" w:color="auto" w:fill="auto"/>
            <w:noWrap/>
            <w:vAlign w:val="bottom"/>
            <w:hideMark/>
          </w:tcPr>
          <w:p w14:paraId="5C18D132" w14:textId="77777777" w:rsidR="00EA5D94" w:rsidRPr="00C171EA" w:rsidRDefault="00EA5D94" w:rsidP="002F3D99">
            <w:pPr>
              <w:spacing w:after="0" w:line="240" w:lineRule="auto"/>
              <w:jc w:val="right"/>
              <w:rPr>
                <w:rFonts w:ascii="Calibri" w:hAnsi="Calibri"/>
              </w:rPr>
            </w:pPr>
            <w:r w:rsidRPr="00C171EA">
              <w:rPr>
                <w:rFonts w:ascii="Calibri" w:hAnsi="Calibri"/>
              </w:rPr>
              <w:t>560</w:t>
            </w:r>
          </w:p>
        </w:tc>
        <w:tc>
          <w:tcPr>
            <w:tcW w:w="992" w:type="dxa"/>
            <w:shd w:val="clear" w:color="auto" w:fill="auto"/>
            <w:noWrap/>
            <w:vAlign w:val="bottom"/>
            <w:hideMark/>
          </w:tcPr>
          <w:p w14:paraId="3F1E5D48" w14:textId="77777777" w:rsidR="00EA5D94" w:rsidRPr="00C171EA" w:rsidRDefault="00EA5D94" w:rsidP="002F3D99">
            <w:pPr>
              <w:spacing w:after="0" w:line="240" w:lineRule="auto"/>
              <w:jc w:val="right"/>
              <w:rPr>
                <w:rFonts w:ascii="Calibri" w:hAnsi="Calibri"/>
              </w:rPr>
            </w:pPr>
            <w:r w:rsidRPr="00C171EA">
              <w:rPr>
                <w:rFonts w:ascii="Calibri" w:hAnsi="Calibri"/>
              </w:rPr>
              <w:t>700</w:t>
            </w:r>
          </w:p>
        </w:tc>
        <w:tc>
          <w:tcPr>
            <w:tcW w:w="1023" w:type="dxa"/>
            <w:shd w:val="clear" w:color="auto" w:fill="auto"/>
            <w:noWrap/>
            <w:vAlign w:val="bottom"/>
            <w:hideMark/>
          </w:tcPr>
          <w:p w14:paraId="0AED5F23"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4F677C3C"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5015DE51"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78007140" w14:textId="77777777" w:rsidTr="00B90D8F">
        <w:trPr>
          <w:trHeight w:val="288"/>
        </w:trPr>
        <w:tc>
          <w:tcPr>
            <w:tcW w:w="836" w:type="dxa"/>
            <w:shd w:val="clear" w:color="auto" w:fill="auto"/>
            <w:noWrap/>
            <w:vAlign w:val="bottom"/>
            <w:hideMark/>
          </w:tcPr>
          <w:p w14:paraId="5029409E" w14:textId="77777777" w:rsidR="00EA5D94" w:rsidRPr="00C171EA" w:rsidRDefault="00EA5D94" w:rsidP="002F3D99">
            <w:pPr>
              <w:spacing w:after="0" w:line="240" w:lineRule="auto"/>
              <w:jc w:val="right"/>
              <w:rPr>
                <w:rFonts w:ascii="Calibri" w:hAnsi="Calibri"/>
              </w:rPr>
            </w:pPr>
            <w:r w:rsidRPr="00C171EA">
              <w:rPr>
                <w:rFonts w:ascii="Calibri" w:hAnsi="Calibri"/>
              </w:rPr>
              <w:t>2006</w:t>
            </w:r>
          </w:p>
        </w:tc>
        <w:tc>
          <w:tcPr>
            <w:tcW w:w="1023" w:type="dxa"/>
            <w:shd w:val="clear" w:color="auto" w:fill="auto"/>
            <w:noWrap/>
            <w:vAlign w:val="bottom"/>
            <w:hideMark/>
          </w:tcPr>
          <w:p w14:paraId="59A0C789" w14:textId="77777777" w:rsidR="00EA5D94" w:rsidRPr="00C171EA" w:rsidRDefault="00EA5D94" w:rsidP="002F3D99">
            <w:pPr>
              <w:spacing w:after="0" w:line="240" w:lineRule="auto"/>
              <w:jc w:val="right"/>
              <w:rPr>
                <w:rFonts w:ascii="Calibri" w:hAnsi="Calibri"/>
              </w:rPr>
            </w:pPr>
            <w:r w:rsidRPr="00C171EA">
              <w:rPr>
                <w:rFonts w:ascii="Calibri" w:hAnsi="Calibri"/>
              </w:rPr>
              <w:t>16000</w:t>
            </w:r>
          </w:p>
        </w:tc>
        <w:tc>
          <w:tcPr>
            <w:tcW w:w="851" w:type="dxa"/>
            <w:shd w:val="clear" w:color="auto" w:fill="auto"/>
            <w:noWrap/>
            <w:vAlign w:val="bottom"/>
            <w:hideMark/>
          </w:tcPr>
          <w:p w14:paraId="0813C052" w14:textId="77777777" w:rsidR="00EA5D94" w:rsidRPr="00C171EA" w:rsidRDefault="00EA5D94" w:rsidP="002F3D99">
            <w:pPr>
              <w:spacing w:after="0" w:line="240" w:lineRule="auto"/>
              <w:jc w:val="right"/>
              <w:rPr>
                <w:rFonts w:ascii="Calibri" w:hAnsi="Calibri"/>
              </w:rPr>
            </w:pPr>
            <w:r w:rsidRPr="00C171EA">
              <w:rPr>
                <w:rFonts w:ascii="Calibri" w:hAnsi="Calibri"/>
              </w:rPr>
              <w:t>4300</w:t>
            </w:r>
          </w:p>
        </w:tc>
        <w:tc>
          <w:tcPr>
            <w:tcW w:w="1113" w:type="dxa"/>
            <w:shd w:val="clear" w:color="auto" w:fill="auto"/>
            <w:noWrap/>
            <w:vAlign w:val="bottom"/>
            <w:hideMark/>
          </w:tcPr>
          <w:p w14:paraId="78C5AC54" w14:textId="77777777" w:rsidR="00EA5D94" w:rsidRPr="00C171EA" w:rsidRDefault="00EA5D94" w:rsidP="002F3D99">
            <w:pPr>
              <w:spacing w:after="0" w:line="240" w:lineRule="auto"/>
              <w:jc w:val="right"/>
              <w:rPr>
                <w:rFonts w:ascii="Calibri" w:hAnsi="Calibri"/>
              </w:rPr>
            </w:pPr>
            <w:r w:rsidRPr="00C171EA">
              <w:rPr>
                <w:rFonts w:ascii="Calibri" w:hAnsi="Calibri"/>
              </w:rPr>
              <w:t>269</w:t>
            </w:r>
          </w:p>
        </w:tc>
        <w:tc>
          <w:tcPr>
            <w:tcW w:w="1023" w:type="dxa"/>
            <w:shd w:val="clear" w:color="auto" w:fill="auto"/>
            <w:noWrap/>
            <w:vAlign w:val="bottom"/>
            <w:hideMark/>
          </w:tcPr>
          <w:p w14:paraId="5271089A" w14:textId="77777777" w:rsidR="00EA5D94" w:rsidRPr="00C171EA" w:rsidRDefault="00EA5D94" w:rsidP="002F3D99">
            <w:pPr>
              <w:spacing w:after="0" w:line="240" w:lineRule="auto"/>
              <w:jc w:val="right"/>
              <w:rPr>
                <w:rFonts w:ascii="Calibri" w:hAnsi="Calibri"/>
              </w:rPr>
            </w:pPr>
            <w:r w:rsidRPr="00C171EA">
              <w:rPr>
                <w:rFonts w:ascii="Calibri" w:hAnsi="Calibri"/>
              </w:rPr>
              <w:t>4900</w:t>
            </w:r>
          </w:p>
        </w:tc>
        <w:tc>
          <w:tcPr>
            <w:tcW w:w="1245" w:type="dxa"/>
            <w:shd w:val="clear" w:color="auto" w:fill="auto"/>
            <w:noWrap/>
            <w:vAlign w:val="bottom"/>
            <w:hideMark/>
          </w:tcPr>
          <w:p w14:paraId="5563DFF9" w14:textId="77777777" w:rsidR="00EA5D94" w:rsidRPr="00C171EA" w:rsidRDefault="00EA5D94" w:rsidP="002F3D99">
            <w:pPr>
              <w:spacing w:after="0" w:line="240" w:lineRule="auto"/>
              <w:jc w:val="right"/>
              <w:rPr>
                <w:rFonts w:ascii="Calibri" w:hAnsi="Calibri"/>
              </w:rPr>
            </w:pPr>
            <w:r w:rsidRPr="00C171EA">
              <w:rPr>
                <w:rFonts w:ascii="Calibri" w:hAnsi="Calibri"/>
              </w:rPr>
              <w:t>3600</w:t>
            </w:r>
          </w:p>
        </w:tc>
        <w:tc>
          <w:tcPr>
            <w:tcW w:w="992" w:type="dxa"/>
            <w:shd w:val="clear" w:color="auto" w:fill="auto"/>
            <w:noWrap/>
            <w:vAlign w:val="bottom"/>
            <w:hideMark/>
          </w:tcPr>
          <w:p w14:paraId="7394401A" w14:textId="77777777" w:rsidR="00EA5D94" w:rsidRPr="00C171EA" w:rsidRDefault="00EA5D94" w:rsidP="002F3D99">
            <w:pPr>
              <w:spacing w:after="0" w:line="240" w:lineRule="auto"/>
              <w:jc w:val="right"/>
              <w:rPr>
                <w:rFonts w:ascii="Calibri" w:hAnsi="Calibri"/>
              </w:rPr>
            </w:pPr>
            <w:r w:rsidRPr="00C171EA">
              <w:rPr>
                <w:rFonts w:ascii="Calibri" w:hAnsi="Calibri"/>
              </w:rPr>
              <w:t>735</w:t>
            </w:r>
          </w:p>
        </w:tc>
        <w:tc>
          <w:tcPr>
            <w:tcW w:w="1023" w:type="dxa"/>
            <w:shd w:val="clear" w:color="auto" w:fill="auto"/>
            <w:noWrap/>
            <w:vAlign w:val="bottom"/>
            <w:hideMark/>
          </w:tcPr>
          <w:p w14:paraId="196C0DD3"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615B0C2D"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7CEF00D9"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7FDD9A04" w14:textId="77777777" w:rsidTr="00B90D8F">
        <w:trPr>
          <w:trHeight w:val="288"/>
        </w:trPr>
        <w:tc>
          <w:tcPr>
            <w:tcW w:w="836" w:type="dxa"/>
            <w:shd w:val="clear" w:color="auto" w:fill="auto"/>
            <w:noWrap/>
            <w:vAlign w:val="bottom"/>
            <w:hideMark/>
          </w:tcPr>
          <w:p w14:paraId="44059E29" w14:textId="77777777" w:rsidR="00EA5D94" w:rsidRPr="00C171EA" w:rsidRDefault="00EA5D94" w:rsidP="002F3D99">
            <w:pPr>
              <w:spacing w:after="0" w:line="240" w:lineRule="auto"/>
              <w:jc w:val="right"/>
              <w:rPr>
                <w:rFonts w:ascii="Calibri" w:hAnsi="Calibri"/>
              </w:rPr>
            </w:pPr>
            <w:r w:rsidRPr="00C171EA">
              <w:rPr>
                <w:rFonts w:ascii="Calibri" w:hAnsi="Calibri"/>
              </w:rPr>
              <w:t>2007</w:t>
            </w:r>
          </w:p>
        </w:tc>
        <w:tc>
          <w:tcPr>
            <w:tcW w:w="1023" w:type="dxa"/>
            <w:shd w:val="clear" w:color="auto" w:fill="auto"/>
            <w:noWrap/>
            <w:vAlign w:val="bottom"/>
            <w:hideMark/>
          </w:tcPr>
          <w:p w14:paraId="269152C1" w14:textId="77777777" w:rsidR="00EA5D94" w:rsidRPr="00C171EA" w:rsidRDefault="00EA5D94" w:rsidP="002F3D99">
            <w:pPr>
              <w:spacing w:after="0" w:line="240" w:lineRule="auto"/>
              <w:jc w:val="right"/>
              <w:rPr>
                <w:rFonts w:ascii="Calibri" w:hAnsi="Calibri"/>
              </w:rPr>
            </w:pPr>
            <w:r w:rsidRPr="00C171EA">
              <w:rPr>
                <w:rFonts w:ascii="Calibri" w:hAnsi="Calibri"/>
              </w:rPr>
              <w:t>17000</w:t>
            </w:r>
          </w:p>
        </w:tc>
        <w:tc>
          <w:tcPr>
            <w:tcW w:w="851" w:type="dxa"/>
            <w:shd w:val="clear" w:color="auto" w:fill="auto"/>
            <w:noWrap/>
            <w:vAlign w:val="bottom"/>
            <w:hideMark/>
          </w:tcPr>
          <w:p w14:paraId="30207102" w14:textId="77777777" w:rsidR="00EA5D94" w:rsidRPr="00C171EA" w:rsidRDefault="00EA5D94" w:rsidP="002F3D99">
            <w:pPr>
              <w:spacing w:after="0" w:line="240" w:lineRule="auto"/>
              <w:jc w:val="right"/>
              <w:rPr>
                <w:rFonts w:ascii="Calibri" w:hAnsi="Calibri"/>
              </w:rPr>
            </w:pPr>
            <w:r w:rsidRPr="00C171EA">
              <w:rPr>
                <w:rFonts w:ascii="Calibri" w:hAnsi="Calibri"/>
              </w:rPr>
              <w:t>7500</w:t>
            </w:r>
          </w:p>
        </w:tc>
        <w:tc>
          <w:tcPr>
            <w:tcW w:w="1113" w:type="dxa"/>
            <w:shd w:val="clear" w:color="auto" w:fill="auto"/>
            <w:noWrap/>
            <w:vAlign w:val="bottom"/>
            <w:hideMark/>
          </w:tcPr>
          <w:p w14:paraId="679C2AB9" w14:textId="77777777" w:rsidR="00EA5D94" w:rsidRPr="00C171EA" w:rsidRDefault="00EA5D94" w:rsidP="002F3D99">
            <w:pPr>
              <w:spacing w:after="0" w:line="240" w:lineRule="auto"/>
              <w:jc w:val="right"/>
              <w:rPr>
                <w:rFonts w:ascii="Calibri" w:hAnsi="Calibri"/>
              </w:rPr>
            </w:pPr>
            <w:r w:rsidRPr="00C171EA">
              <w:rPr>
                <w:rFonts w:ascii="Calibri" w:hAnsi="Calibri"/>
              </w:rPr>
              <w:t>441</w:t>
            </w:r>
          </w:p>
        </w:tc>
        <w:tc>
          <w:tcPr>
            <w:tcW w:w="1023" w:type="dxa"/>
            <w:shd w:val="clear" w:color="auto" w:fill="auto"/>
            <w:noWrap/>
            <w:vAlign w:val="bottom"/>
            <w:hideMark/>
          </w:tcPr>
          <w:p w14:paraId="6D1FE29B" w14:textId="77777777" w:rsidR="00EA5D94" w:rsidRPr="00C171EA" w:rsidRDefault="00EA5D94" w:rsidP="002F3D99">
            <w:pPr>
              <w:spacing w:after="0" w:line="240" w:lineRule="auto"/>
              <w:jc w:val="right"/>
              <w:rPr>
                <w:rFonts w:ascii="Calibri" w:hAnsi="Calibri"/>
              </w:rPr>
            </w:pPr>
            <w:r w:rsidRPr="00C171EA">
              <w:rPr>
                <w:rFonts w:ascii="Calibri" w:hAnsi="Calibri"/>
              </w:rPr>
              <w:t>1800</w:t>
            </w:r>
          </w:p>
        </w:tc>
        <w:tc>
          <w:tcPr>
            <w:tcW w:w="1245" w:type="dxa"/>
            <w:shd w:val="clear" w:color="auto" w:fill="auto"/>
            <w:noWrap/>
            <w:vAlign w:val="bottom"/>
            <w:hideMark/>
          </w:tcPr>
          <w:p w14:paraId="7B45479F" w14:textId="77777777" w:rsidR="00EA5D94" w:rsidRPr="00C171EA" w:rsidRDefault="00EA5D94" w:rsidP="002F3D99">
            <w:pPr>
              <w:spacing w:after="0" w:line="240" w:lineRule="auto"/>
              <w:jc w:val="right"/>
              <w:rPr>
                <w:rFonts w:ascii="Calibri" w:hAnsi="Calibri"/>
              </w:rPr>
            </w:pPr>
            <w:r w:rsidRPr="00C171EA">
              <w:rPr>
                <w:rFonts w:ascii="Calibri" w:hAnsi="Calibri"/>
              </w:rPr>
              <w:t>3238</w:t>
            </w:r>
          </w:p>
        </w:tc>
        <w:tc>
          <w:tcPr>
            <w:tcW w:w="992" w:type="dxa"/>
            <w:shd w:val="clear" w:color="auto" w:fill="auto"/>
            <w:noWrap/>
            <w:vAlign w:val="bottom"/>
            <w:hideMark/>
          </w:tcPr>
          <w:p w14:paraId="2BD98D95" w14:textId="77777777" w:rsidR="00EA5D94" w:rsidRPr="00C171EA" w:rsidRDefault="00EA5D94" w:rsidP="002F3D99">
            <w:pPr>
              <w:spacing w:after="0" w:line="240" w:lineRule="auto"/>
              <w:jc w:val="right"/>
              <w:rPr>
                <w:rFonts w:ascii="Calibri" w:hAnsi="Calibri"/>
              </w:rPr>
            </w:pPr>
            <w:r w:rsidRPr="00C171EA">
              <w:rPr>
                <w:rFonts w:ascii="Calibri" w:hAnsi="Calibri"/>
              </w:rPr>
              <w:t>1750</w:t>
            </w:r>
          </w:p>
        </w:tc>
        <w:tc>
          <w:tcPr>
            <w:tcW w:w="1023" w:type="dxa"/>
            <w:shd w:val="clear" w:color="auto" w:fill="auto"/>
            <w:noWrap/>
            <w:vAlign w:val="bottom"/>
            <w:hideMark/>
          </w:tcPr>
          <w:p w14:paraId="5419597B"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6B8AA10B"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40510946"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7309268B" w14:textId="77777777" w:rsidTr="00B90D8F">
        <w:trPr>
          <w:trHeight w:val="288"/>
        </w:trPr>
        <w:tc>
          <w:tcPr>
            <w:tcW w:w="836" w:type="dxa"/>
            <w:shd w:val="clear" w:color="auto" w:fill="auto"/>
            <w:noWrap/>
            <w:vAlign w:val="bottom"/>
            <w:hideMark/>
          </w:tcPr>
          <w:p w14:paraId="736A989D" w14:textId="77777777" w:rsidR="00EA5D94" w:rsidRPr="00C171EA" w:rsidRDefault="00EA5D94" w:rsidP="002F3D99">
            <w:pPr>
              <w:spacing w:after="0" w:line="240" w:lineRule="auto"/>
              <w:jc w:val="right"/>
              <w:rPr>
                <w:rFonts w:ascii="Calibri" w:hAnsi="Calibri"/>
              </w:rPr>
            </w:pPr>
            <w:r w:rsidRPr="00C171EA">
              <w:rPr>
                <w:rFonts w:ascii="Calibri" w:hAnsi="Calibri"/>
              </w:rPr>
              <w:t>2008</w:t>
            </w:r>
          </w:p>
        </w:tc>
        <w:tc>
          <w:tcPr>
            <w:tcW w:w="1023" w:type="dxa"/>
            <w:shd w:val="clear" w:color="auto" w:fill="auto"/>
            <w:noWrap/>
            <w:vAlign w:val="bottom"/>
            <w:hideMark/>
          </w:tcPr>
          <w:p w14:paraId="5B6DC754" w14:textId="77777777" w:rsidR="00EA5D94" w:rsidRPr="00C171EA" w:rsidRDefault="00EA5D94" w:rsidP="002F3D99">
            <w:pPr>
              <w:spacing w:after="0" w:line="240" w:lineRule="auto"/>
              <w:jc w:val="right"/>
              <w:rPr>
                <w:rFonts w:ascii="Calibri" w:hAnsi="Calibri"/>
              </w:rPr>
            </w:pPr>
            <w:r w:rsidRPr="00C171EA">
              <w:rPr>
                <w:rFonts w:ascii="Calibri" w:hAnsi="Calibri"/>
              </w:rPr>
              <w:t>18000</w:t>
            </w:r>
          </w:p>
        </w:tc>
        <w:tc>
          <w:tcPr>
            <w:tcW w:w="851" w:type="dxa"/>
            <w:shd w:val="clear" w:color="auto" w:fill="auto"/>
            <w:noWrap/>
            <w:vAlign w:val="bottom"/>
            <w:hideMark/>
          </w:tcPr>
          <w:p w14:paraId="1D84CAF1" w14:textId="77777777" w:rsidR="00EA5D94" w:rsidRPr="00C171EA" w:rsidRDefault="00EA5D94" w:rsidP="002F3D99">
            <w:pPr>
              <w:spacing w:after="0" w:line="240" w:lineRule="auto"/>
              <w:jc w:val="right"/>
              <w:rPr>
                <w:rFonts w:ascii="Calibri" w:hAnsi="Calibri"/>
              </w:rPr>
            </w:pPr>
            <w:r w:rsidRPr="00C171EA">
              <w:rPr>
                <w:rFonts w:ascii="Calibri" w:hAnsi="Calibri"/>
              </w:rPr>
              <w:t>8200</w:t>
            </w:r>
          </w:p>
        </w:tc>
        <w:tc>
          <w:tcPr>
            <w:tcW w:w="1113" w:type="dxa"/>
            <w:shd w:val="clear" w:color="auto" w:fill="auto"/>
            <w:noWrap/>
            <w:vAlign w:val="bottom"/>
            <w:hideMark/>
          </w:tcPr>
          <w:p w14:paraId="0A6A48D6" w14:textId="77777777" w:rsidR="00EA5D94" w:rsidRPr="00C171EA" w:rsidRDefault="00EA5D94" w:rsidP="002F3D99">
            <w:pPr>
              <w:spacing w:after="0" w:line="240" w:lineRule="auto"/>
              <w:jc w:val="right"/>
              <w:rPr>
                <w:rFonts w:ascii="Calibri" w:hAnsi="Calibri"/>
              </w:rPr>
            </w:pPr>
            <w:r w:rsidRPr="00C171EA">
              <w:rPr>
                <w:rFonts w:ascii="Calibri" w:hAnsi="Calibri"/>
              </w:rPr>
              <w:t>456</w:t>
            </w:r>
          </w:p>
        </w:tc>
        <w:tc>
          <w:tcPr>
            <w:tcW w:w="1023" w:type="dxa"/>
            <w:shd w:val="clear" w:color="auto" w:fill="auto"/>
            <w:noWrap/>
            <w:vAlign w:val="bottom"/>
            <w:hideMark/>
          </w:tcPr>
          <w:p w14:paraId="2A78DF95" w14:textId="77777777" w:rsidR="00EA5D94" w:rsidRPr="00C171EA" w:rsidRDefault="00EA5D94" w:rsidP="002F3D99">
            <w:pPr>
              <w:spacing w:after="0" w:line="240" w:lineRule="auto"/>
              <w:jc w:val="right"/>
              <w:rPr>
                <w:rFonts w:ascii="Calibri" w:hAnsi="Calibri"/>
              </w:rPr>
            </w:pPr>
            <w:r w:rsidRPr="00C171EA">
              <w:rPr>
                <w:rFonts w:ascii="Calibri" w:hAnsi="Calibri"/>
              </w:rPr>
              <w:t>1800</w:t>
            </w:r>
          </w:p>
        </w:tc>
        <w:tc>
          <w:tcPr>
            <w:tcW w:w="1245" w:type="dxa"/>
            <w:shd w:val="clear" w:color="auto" w:fill="auto"/>
            <w:noWrap/>
            <w:vAlign w:val="bottom"/>
            <w:hideMark/>
          </w:tcPr>
          <w:p w14:paraId="7A26268D" w14:textId="77777777" w:rsidR="00EA5D94" w:rsidRPr="00C171EA" w:rsidRDefault="00EA5D94" w:rsidP="002F3D99">
            <w:pPr>
              <w:spacing w:after="0" w:line="240" w:lineRule="auto"/>
              <w:jc w:val="right"/>
              <w:rPr>
                <w:rFonts w:ascii="Calibri" w:hAnsi="Calibri"/>
              </w:rPr>
            </w:pPr>
            <w:r w:rsidRPr="00C171EA">
              <w:rPr>
                <w:rFonts w:ascii="Calibri" w:hAnsi="Calibri"/>
              </w:rPr>
              <w:t>3300</w:t>
            </w:r>
          </w:p>
        </w:tc>
        <w:tc>
          <w:tcPr>
            <w:tcW w:w="992" w:type="dxa"/>
            <w:shd w:val="clear" w:color="auto" w:fill="auto"/>
            <w:noWrap/>
            <w:vAlign w:val="bottom"/>
            <w:hideMark/>
          </w:tcPr>
          <w:p w14:paraId="24A1DDBE" w14:textId="77777777" w:rsidR="00EA5D94" w:rsidRPr="00C171EA" w:rsidRDefault="00EA5D94" w:rsidP="002F3D99">
            <w:pPr>
              <w:spacing w:after="0" w:line="240" w:lineRule="auto"/>
              <w:jc w:val="right"/>
              <w:rPr>
                <w:rFonts w:ascii="Calibri" w:hAnsi="Calibri"/>
              </w:rPr>
            </w:pPr>
            <w:r w:rsidRPr="00C171EA">
              <w:rPr>
                <w:rFonts w:ascii="Calibri" w:hAnsi="Calibri"/>
              </w:rPr>
              <w:t>1833</w:t>
            </w:r>
          </w:p>
        </w:tc>
        <w:tc>
          <w:tcPr>
            <w:tcW w:w="1023" w:type="dxa"/>
            <w:shd w:val="clear" w:color="auto" w:fill="auto"/>
            <w:noWrap/>
            <w:vAlign w:val="bottom"/>
            <w:hideMark/>
          </w:tcPr>
          <w:p w14:paraId="70C498DD"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41294421"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67278AEA"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308BBA04" w14:textId="77777777" w:rsidTr="00B90D8F">
        <w:trPr>
          <w:trHeight w:val="288"/>
        </w:trPr>
        <w:tc>
          <w:tcPr>
            <w:tcW w:w="836" w:type="dxa"/>
            <w:shd w:val="clear" w:color="auto" w:fill="auto"/>
            <w:noWrap/>
            <w:vAlign w:val="bottom"/>
            <w:hideMark/>
          </w:tcPr>
          <w:p w14:paraId="4118A625" w14:textId="77777777" w:rsidR="00EA5D94" w:rsidRPr="00C171EA" w:rsidRDefault="00EA5D94" w:rsidP="002F3D99">
            <w:pPr>
              <w:spacing w:after="0" w:line="240" w:lineRule="auto"/>
              <w:jc w:val="right"/>
              <w:rPr>
                <w:rFonts w:ascii="Calibri" w:hAnsi="Calibri"/>
              </w:rPr>
            </w:pPr>
            <w:r w:rsidRPr="00C171EA">
              <w:rPr>
                <w:rFonts w:ascii="Calibri" w:hAnsi="Calibri"/>
              </w:rPr>
              <w:t>2009</w:t>
            </w:r>
          </w:p>
        </w:tc>
        <w:tc>
          <w:tcPr>
            <w:tcW w:w="1023" w:type="dxa"/>
            <w:shd w:val="clear" w:color="auto" w:fill="auto"/>
            <w:noWrap/>
            <w:vAlign w:val="bottom"/>
            <w:hideMark/>
          </w:tcPr>
          <w:p w14:paraId="69AAB8D3" w14:textId="77777777" w:rsidR="00EA5D94" w:rsidRPr="00C171EA" w:rsidRDefault="00EA5D94" w:rsidP="002F3D99">
            <w:pPr>
              <w:spacing w:after="0" w:line="240" w:lineRule="auto"/>
              <w:jc w:val="right"/>
              <w:rPr>
                <w:rFonts w:ascii="Calibri" w:hAnsi="Calibri"/>
              </w:rPr>
            </w:pPr>
            <w:r w:rsidRPr="00C171EA">
              <w:rPr>
                <w:rFonts w:ascii="Calibri" w:hAnsi="Calibri"/>
              </w:rPr>
              <w:t>18000</w:t>
            </w:r>
          </w:p>
        </w:tc>
        <w:tc>
          <w:tcPr>
            <w:tcW w:w="851" w:type="dxa"/>
            <w:shd w:val="clear" w:color="auto" w:fill="auto"/>
            <w:noWrap/>
            <w:vAlign w:val="bottom"/>
            <w:hideMark/>
          </w:tcPr>
          <w:p w14:paraId="55815942" w14:textId="77777777" w:rsidR="00EA5D94" w:rsidRPr="00C171EA" w:rsidRDefault="00EA5D94" w:rsidP="002F3D99">
            <w:pPr>
              <w:spacing w:after="0" w:line="240" w:lineRule="auto"/>
              <w:jc w:val="right"/>
              <w:rPr>
                <w:rFonts w:ascii="Calibri" w:hAnsi="Calibri"/>
              </w:rPr>
            </w:pPr>
            <w:r w:rsidRPr="00C171EA">
              <w:rPr>
                <w:rFonts w:ascii="Calibri" w:hAnsi="Calibri"/>
              </w:rPr>
              <w:t>9200</w:t>
            </w:r>
          </w:p>
        </w:tc>
        <w:tc>
          <w:tcPr>
            <w:tcW w:w="1113" w:type="dxa"/>
            <w:shd w:val="clear" w:color="auto" w:fill="auto"/>
            <w:noWrap/>
            <w:vAlign w:val="bottom"/>
            <w:hideMark/>
          </w:tcPr>
          <w:p w14:paraId="5E4A1450" w14:textId="77777777" w:rsidR="00EA5D94" w:rsidRPr="00C171EA" w:rsidRDefault="00EA5D94" w:rsidP="002F3D99">
            <w:pPr>
              <w:spacing w:after="0" w:line="240" w:lineRule="auto"/>
              <w:jc w:val="right"/>
              <w:rPr>
                <w:rFonts w:ascii="Calibri" w:hAnsi="Calibri"/>
              </w:rPr>
            </w:pPr>
            <w:r w:rsidRPr="00C171EA">
              <w:rPr>
                <w:rFonts w:ascii="Calibri" w:hAnsi="Calibri"/>
              </w:rPr>
              <w:t>511</w:t>
            </w:r>
          </w:p>
        </w:tc>
        <w:tc>
          <w:tcPr>
            <w:tcW w:w="1023" w:type="dxa"/>
            <w:shd w:val="clear" w:color="auto" w:fill="auto"/>
            <w:noWrap/>
            <w:vAlign w:val="bottom"/>
            <w:hideMark/>
          </w:tcPr>
          <w:p w14:paraId="5AFA2B03" w14:textId="77777777" w:rsidR="00EA5D94" w:rsidRPr="00C171EA" w:rsidRDefault="00EA5D94" w:rsidP="002F3D99">
            <w:pPr>
              <w:spacing w:after="0" w:line="240" w:lineRule="auto"/>
              <w:jc w:val="right"/>
              <w:rPr>
                <w:rFonts w:ascii="Calibri" w:hAnsi="Calibri"/>
              </w:rPr>
            </w:pPr>
            <w:r w:rsidRPr="00C171EA">
              <w:rPr>
                <w:rFonts w:ascii="Calibri" w:hAnsi="Calibri"/>
              </w:rPr>
              <w:t>5927</w:t>
            </w:r>
          </w:p>
        </w:tc>
        <w:tc>
          <w:tcPr>
            <w:tcW w:w="1245" w:type="dxa"/>
            <w:shd w:val="clear" w:color="auto" w:fill="auto"/>
            <w:noWrap/>
            <w:vAlign w:val="bottom"/>
            <w:hideMark/>
          </w:tcPr>
          <w:p w14:paraId="4A50E5C9" w14:textId="77777777" w:rsidR="00EA5D94" w:rsidRPr="00C171EA" w:rsidRDefault="00EA5D94" w:rsidP="002F3D99">
            <w:pPr>
              <w:spacing w:after="0" w:line="240" w:lineRule="auto"/>
              <w:jc w:val="right"/>
              <w:rPr>
                <w:rFonts w:ascii="Calibri" w:hAnsi="Calibri"/>
              </w:rPr>
            </w:pPr>
            <w:r w:rsidRPr="00C171EA">
              <w:rPr>
                <w:rFonts w:ascii="Calibri" w:hAnsi="Calibri"/>
              </w:rPr>
              <w:t>6560</w:t>
            </w:r>
          </w:p>
        </w:tc>
        <w:tc>
          <w:tcPr>
            <w:tcW w:w="992" w:type="dxa"/>
            <w:shd w:val="clear" w:color="auto" w:fill="auto"/>
            <w:noWrap/>
            <w:vAlign w:val="bottom"/>
            <w:hideMark/>
          </w:tcPr>
          <w:p w14:paraId="1C8C25BD" w14:textId="77777777" w:rsidR="00EA5D94" w:rsidRPr="00C171EA" w:rsidRDefault="00EA5D94" w:rsidP="002F3D99">
            <w:pPr>
              <w:spacing w:after="0" w:line="240" w:lineRule="auto"/>
              <w:jc w:val="right"/>
              <w:rPr>
                <w:rFonts w:ascii="Calibri" w:hAnsi="Calibri"/>
              </w:rPr>
            </w:pPr>
            <w:r w:rsidRPr="00C171EA">
              <w:rPr>
                <w:rFonts w:ascii="Calibri" w:hAnsi="Calibri"/>
              </w:rPr>
              <w:t>1107</w:t>
            </w:r>
          </w:p>
        </w:tc>
        <w:tc>
          <w:tcPr>
            <w:tcW w:w="1023" w:type="dxa"/>
            <w:shd w:val="clear" w:color="auto" w:fill="auto"/>
            <w:noWrap/>
            <w:vAlign w:val="bottom"/>
            <w:hideMark/>
          </w:tcPr>
          <w:p w14:paraId="479095B5"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738" w:type="dxa"/>
            <w:shd w:val="clear" w:color="auto" w:fill="auto"/>
            <w:noWrap/>
            <w:vAlign w:val="bottom"/>
            <w:hideMark/>
          </w:tcPr>
          <w:p w14:paraId="10CC16A0"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008CB1C0" w14:textId="77777777" w:rsidR="00EA5D94" w:rsidRPr="00C171EA" w:rsidRDefault="00EA5D94" w:rsidP="002F3D99">
            <w:pPr>
              <w:spacing w:after="0" w:line="240" w:lineRule="auto"/>
              <w:jc w:val="right"/>
              <w:rPr>
                <w:rFonts w:ascii="Calibri" w:hAnsi="Calibri"/>
              </w:rPr>
            </w:pPr>
            <w:r>
              <w:rPr>
                <w:rFonts w:ascii="Calibri" w:hAnsi="Calibri"/>
              </w:rPr>
              <w:t>NA</w:t>
            </w:r>
          </w:p>
        </w:tc>
      </w:tr>
      <w:tr w:rsidR="00EA5D94" w:rsidRPr="00C171EA" w14:paraId="7A725636" w14:textId="77777777" w:rsidTr="00B90D8F">
        <w:trPr>
          <w:trHeight w:val="288"/>
        </w:trPr>
        <w:tc>
          <w:tcPr>
            <w:tcW w:w="836" w:type="dxa"/>
            <w:shd w:val="clear" w:color="auto" w:fill="auto"/>
            <w:noWrap/>
            <w:vAlign w:val="bottom"/>
            <w:hideMark/>
          </w:tcPr>
          <w:p w14:paraId="7B6BE5D2" w14:textId="77777777" w:rsidR="00EA5D94" w:rsidRPr="00C171EA" w:rsidRDefault="00EA5D94" w:rsidP="002F3D99">
            <w:pPr>
              <w:spacing w:after="0" w:line="240" w:lineRule="auto"/>
              <w:jc w:val="right"/>
              <w:rPr>
                <w:rFonts w:ascii="Calibri" w:hAnsi="Calibri"/>
              </w:rPr>
            </w:pPr>
            <w:r w:rsidRPr="00C171EA">
              <w:rPr>
                <w:rFonts w:ascii="Calibri" w:hAnsi="Calibri"/>
              </w:rPr>
              <w:t>2010</w:t>
            </w:r>
          </w:p>
        </w:tc>
        <w:tc>
          <w:tcPr>
            <w:tcW w:w="1023" w:type="dxa"/>
            <w:shd w:val="clear" w:color="auto" w:fill="auto"/>
            <w:noWrap/>
            <w:vAlign w:val="bottom"/>
            <w:hideMark/>
          </w:tcPr>
          <w:p w14:paraId="755CA1BC" w14:textId="77777777" w:rsidR="00EA5D94" w:rsidRPr="00C171EA" w:rsidRDefault="00EA5D94" w:rsidP="002F3D99">
            <w:pPr>
              <w:spacing w:after="0" w:line="240" w:lineRule="auto"/>
              <w:jc w:val="right"/>
              <w:rPr>
                <w:rFonts w:ascii="Calibri" w:hAnsi="Calibri"/>
              </w:rPr>
            </w:pPr>
            <w:r w:rsidRPr="00C171EA">
              <w:rPr>
                <w:rFonts w:ascii="Calibri" w:hAnsi="Calibri"/>
              </w:rPr>
              <w:t>7558</w:t>
            </w:r>
          </w:p>
        </w:tc>
        <w:tc>
          <w:tcPr>
            <w:tcW w:w="851" w:type="dxa"/>
            <w:shd w:val="clear" w:color="auto" w:fill="auto"/>
            <w:noWrap/>
            <w:vAlign w:val="bottom"/>
            <w:hideMark/>
          </w:tcPr>
          <w:p w14:paraId="7DB595DD" w14:textId="77777777" w:rsidR="00EA5D94" w:rsidRPr="00C171EA" w:rsidRDefault="00EA5D94" w:rsidP="002F3D99">
            <w:pPr>
              <w:spacing w:after="0" w:line="240" w:lineRule="auto"/>
              <w:jc w:val="right"/>
              <w:rPr>
                <w:rFonts w:ascii="Calibri" w:hAnsi="Calibri"/>
              </w:rPr>
            </w:pPr>
            <w:r w:rsidRPr="00C171EA">
              <w:rPr>
                <w:rFonts w:ascii="Calibri" w:hAnsi="Calibri"/>
              </w:rPr>
              <w:t>5852</w:t>
            </w:r>
          </w:p>
        </w:tc>
        <w:tc>
          <w:tcPr>
            <w:tcW w:w="1113" w:type="dxa"/>
            <w:shd w:val="clear" w:color="auto" w:fill="auto"/>
            <w:noWrap/>
            <w:vAlign w:val="bottom"/>
            <w:hideMark/>
          </w:tcPr>
          <w:p w14:paraId="3A434721" w14:textId="77777777" w:rsidR="00EA5D94" w:rsidRPr="00C171EA" w:rsidRDefault="00EA5D94" w:rsidP="002F3D99">
            <w:pPr>
              <w:spacing w:after="0" w:line="240" w:lineRule="auto"/>
              <w:jc w:val="right"/>
              <w:rPr>
                <w:rFonts w:ascii="Calibri" w:hAnsi="Calibri"/>
              </w:rPr>
            </w:pPr>
            <w:r w:rsidRPr="00C171EA">
              <w:rPr>
                <w:rFonts w:ascii="Calibri" w:hAnsi="Calibri"/>
              </w:rPr>
              <w:t>774</w:t>
            </w:r>
          </w:p>
        </w:tc>
        <w:tc>
          <w:tcPr>
            <w:tcW w:w="1023" w:type="dxa"/>
            <w:shd w:val="clear" w:color="auto" w:fill="auto"/>
            <w:noWrap/>
            <w:vAlign w:val="bottom"/>
            <w:hideMark/>
          </w:tcPr>
          <w:p w14:paraId="420CA2F7" w14:textId="77777777" w:rsidR="00EA5D94" w:rsidRPr="00C171EA" w:rsidRDefault="00EA5D94" w:rsidP="002F3D99">
            <w:pPr>
              <w:spacing w:after="0" w:line="240" w:lineRule="auto"/>
              <w:jc w:val="right"/>
              <w:rPr>
                <w:rFonts w:ascii="Calibri" w:hAnsi="Calibri"/>
              </w:rPr>
            </w:pPr>
            <w:r w:rsidRPr="00C171EA">
              <w:rPr>
                <w:rFonts w:ascii="Calibri" w:hAnsi="Calibri"/>
              </w:rPr>
              <w:t>6165</w:t>
            </w:r>
          </w:p>
        </w:tc>
        <w:tc>
          <w:tcPr>
            <w:tcW w:w="1245" w:type="dxa"/>
            <w:shd w:val="clear" w:color="auto" w:fill="auto"/>
            <w:noWrap/>
            <w:vAlign w:val="bottom"/>
            <w:hideMark/>
          </w:tcPr>
          <w:p w14:paraId="79D4BFBC" w14:textId="77777777" w:rsidR="00EA5D94" w:rsidRPr="00C171EA" w:rsidRDefault="00EA5D94" w:rsidP="002F3D99">
            <w:pPr>
              <w:spacing w:after="0" w:line="240" w:lineRule="auto"/>
              <w:jc w:val="right"/>
              <w:rPr>
                <w:rFonts w:ascii="Calibri" w:hAnsi="Calibri"/>
              </w:rPr>
            </w:pPr>
            <w:r w:rsidRPr="00C171EA">
              <w:rPr>
                <w:rFonts w:ascii="Calibri" w:hAnsi="Calibri"/>
              </w:rPr>
              <w:t>6691</w:t>
            </w:r>
          </w:p>
        </w:tc>
        <w:tc>
          <w:tcPr>
            <w:tcW w:w="992" w:type="dxa"/>
            <w:shd w:val="clear" w:color="auto" w:fill="auto"/>
            <w:noWrap/>
            <w:vAlign w:val="bottom"/>
            <w:hideMark/>
          </w:tcPr>
          <w:p w14:paraId="71CC7F9D" w14:textId="77777777" w:rsidR="00EA5D94" w:rsidRPr="00C171EA" w:rsidRDefault="00EA5D94" w:rsidP="002F3D99">
            <w:pPr>
              <w:spacing w:after="0" w:line="240" w:lineRule="auto"/>
              <w:jc w:val="right"/>
              <w:rPr>
                <w:rFonts w:ascii="Calibri" w:hAnsi="Calibri"/>
              </w:rPr>
            </w:pPr>
            <w:r w:rsidRPr="00C171EA">
              <w:rPr>
                <w:rFonts w:ascii="Calibri" w:hAnsi="Calibri"/>
              </w:rPr>
              <w:t>1085</w:t>
            </w:r>
          </w:p>
        </w:tc>
        <w:tc>
          <w:tcPr>
            <w:tcW w:w="1023" w:type="dxa"/>
            <w:shd w:val="clear" w:color="auto" w:fill="auto"/>
            <w:noWrap/>
            <w:vAlign w:val="bottom"/>
            <w:hideMark/>
          </w:tcPr>
          <w:p w14:paraId="4D488EAA" w14:textId="77777777" w:rsidR="00EA5D94" w:rsidRPr="00C171EA" w:rsidRDefault="00EA5D94" w:rsidP="002F3D99">
            <w:pPr>
              <w:spacing w:after="0" w:line="240" w:lineRule="auto"/>
              <w:jc w:val="right"/>
              <w:rPr>
                <w:rFonts w:ascii="Calibri" w:hAnsi="Calibri"/>
              </w:rPr>
            </w:pPr>
            <w:r w:rsidRPr="00C171EA">
              <w:rPr>
                <w:rFonts w:ascii="Calibri" w:hAnsi="Calibri"/>
              </w:rPr>
              <w:t>10518</w:t>
            </w:r>
          </w:p>
        </w:tc>
        <w:tc>
          <w:tcPr>
            <w:tcW w:w="738" w:type="dxa"/>
            <w:shd w:val="clear" w:color="auto" w:fill="auto"/>
            <w:noWrap/>
            <w:vAlign w:val="bottom"/>
            <w:hideMark/>
          </w:tcPr>
          <w:p w14:paraId="7395E77F"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58DEE7E0" w14:textId="77777777" w:rsidR="00EA5D94" w:rsidRPr="00C171EA" w:rsidRDefault="00EA5D94" w:rsidP="002F3D99">
            <w:pPr>
              <w:spacing w:after="0" w:line="240" w:lineRule="auto"/>
              <w:jc w:val="right"/>
              <w:rPr>
                <w:rFonts w:ascii="Calibri" w:hAnsi="Calibri"/>
              </w:rPr>
            </w:pPr>
            <w:r w:rsidRPr="00C171EA">
              <w:rPr>
                <w:rFonts w:ascii="Calibri" w:hAnsi="Calibri"/>
              </w:rPr>
              <w:t>301</w:t>
            </w:r>
          </w:p>
        </w:tc>
      </w:tr>
      <w:tr w:rsidR="00EA5D94" w:rsidRPr="00C171EA" w14:paraId="2CF992C1" w14:textId="77777777" w:rsidTr="00B90D8F">
        <w:trPr>
          <w:trHeight w:val="288"/>
        </w:trPr>
        <w:tc>
          <w:tcPr>
            <w:tcW w:w="836" w:type="dxa"/>
            <w:shd w:val="clear" w:color="auto" w:fill="auto"/>
            <w:noWrap/>
            <w:vAlign w:val="bottom"/>
            <w:hideMark/>
          </w:tcPr>
          <w:p w14:paraId="0F624DA8" w14:textId="77777777" w:rsidR="00EA5D94" w:rsidRPr="00C171EA" w:rsidRDefault="00EA5D94" w:rsidP="002F3D99">
            <w:pPr>
              <w:spacing w:after="0" w:line="240" w:lineRule="auto"/>
              <w:jc w:val="right"/>
              <w:rPr>
                <w:rFonts w:ascii="Calibri" w:hAnsi="Calibri"/>
              </w:rPr>
            </w:pPr>
            <w:r w:rsidRPr="00C171EA">
              <w:rPr>
                <w:rFonts w:ascii="Calibri" w:hAnsi="Calibri"/>
              </w:rPr>
              <w:t>2011</w:t>
            </w:r>
          </w:p>
        </w:tc>
        <w:tc>
          <w:tcPr>
            <w:tcW w:w="1023" w:type="dxa"/>
            <w:shd w:val="clear" w:color="auto" w:fill="auto"/>
            <w:noWrap/>
            <w:vAlign w:val="bottom"/>
            <w:hideMark/>
          </w:tcPr>
          <w:p w14:paraId="4949D935" w14:textId="77777777" w:rsidR="00EA5D94" w:rsidRPr="00C171EA" w:rsidRDefault="00EA5D94" w:rsidP="002F3D99">
            <w:pPr>
              <w:spacing w:after="0" w:line="240" w:lineRule="auto"/>
              <w:jc w:val="right"/>
              <w:rPr>
                <w:rFonts w:ascii="Calibri" w:hAnsi="Calibri"/>
              </w:rPr>
            </w:pPr>
            <w:r w:rsidRPr="00C171EA">
              <w:rPr>
                <w:rFonts w:ascii="Calibri" w:hAnsi="Calibri"/>
              </w:rPr>
              <w:t>5148</w:t>
            </w:r>
          </w:p>
        </w:tc>
        <w:tc>
          <w:tcPr>
            <w:tcW w:w="851" w:type="dxa"/>
            <w:shd w:val="clear" w:color="auto" w:fill="auto"/>
            <w:noWrap/>
            <w:vAlign w:val="bottom"/>
            <w:hideMark/>
          </w:tcPr>
          <w:p w14:paraId="311EA26B" w14:textId="77777777" w:rsidR="00EA5D94" w:rsidRPr="00C171EA" w:rsidRDefault="00EA5D94" w:rsidP="002F3D99">
            <w:pPr>
              <w:spacing w:after="0" w:line="240" w:lineRule="auto"/>
              <w:jc w:val="right"/>
              <w:rPr>
                <w:rFonts w:ascii="Calibri" w:hAnsi="Calibri"/>
              </w:rPr>
            </w:pPr>
            <w:r w:rsidRPr="00C171EA">
              <w:rPr>
                <w:rFonts w:ascii="Calibri" w:hAnsi="Calibri"/>
              </w:rPr>
              <w:t>4643</w:t>
            </w:r>
          </w:p>
        </w:tc>
        <w:tc>
          <w:tcPr>
            <w:tcW w:w="1113" w:type="dxa"/>
            <w:shd w:val="clear" w:color="auto" w:fill="auto"/>
            <w:noWrap/>
            <w:vAlign w:val="bottom"/>
            <w:hideMark/>
          </w:tcPr>
          <w:p w14:paraId="7F49A661" w14:textId="77777777" w:rsidR="00EA5D94" w:rsidRPr="00C171EA" w:rsidRDefault="00EA5D94" w:rsidP="002F3D99">
            <w:pPr>
              <w:spacing w:after="0" w:line="240" w:lineRule="auto"/>
              <w:jc w:val="right"/>
              <w:rPr>
                <w:rFonts w:ascii="Calibri" w:hAnsi="Calibri"/>
              </w:rPr>
            </w:pPr>
            <w:r w:rsidRPr="00C171EA">
              <w:rPr>
                <w:rFonts w:ascii="Calibri" w:hAnsi="Calibri"/>
              </w:rPr>
              <w:t>902</w:t>
            </w:r>
          </w:p>
        </w:tc>
        <w:tc>
          <w:tcPr>
            <w:tcW w:w="1023" w:type="dxa"/>
            <w:shd w:val="clear" w:color="auto" w:fill="auto"/>
            <w:noWrap/>
            <w:vAlign w:val="bottom"/>
            <w:hideMark/>
          </w:tcPr>
          <w:p w14:paraId="4780CA54" w14:textId="77777777" w:rsidR="00EA5D94" w:rsidRPr="00C171EA" w:rsidRDefault="00EA5D94" w:rsidP="002F3D99">
            <w:pPr>
              <w:spacing w:after="0" w:line="240" w:lineRule="auto"/>
              <w:jc w:val="right"/>
              <w:rPr>
                <w:rFonts w:ascii="Calibri" w:hAnsi="Calibri"/>
              </w:rPr>
            </w:pPr>
            <w:r w:rsidRPr="00C171EA">
              <w:rPr>
                <w:rFonts w:ascii="Calibri" w:hAnsi="Calibri"/>
              </w:rPr>
              <w:t>7460</w:t>
            </w:r>
          </w:p>
        </w:tc>
        <w:tc>
          <w:tcPr>
            <w:tcW w:w="1245" w:type="dxa"/>
            <w:shd w:val="clear" w:color="auto" w:fill="auto"/>
            <w:noWrap/>
            <w:vAlign w:val="bottom"/>
            <w:hideMark/>
          </w:tcPr>
          <w:p w14:paraId="32DED25B" w14:textId="77777777" w:rsidR="00EA5D94" w:rsidRPr="00C171EA" w:rsidRDefault="00EA5D94" w:rsidP="002F3D99">
            <w:pPr>
              <w:spacing w:after="0" w:line="240" w:lineRule="auto"/>
              <w:jc w:val="right"/>
              <w:rPr>
                <w:rFonts w:ascii="Calibri" w:hAnsi="Calibri"/>
              </w:rPr>
            </w:pPr>
            <w:r w:rsidRPr="00C171EA">
              <w:rPr>
                <w:rFonts w:ascii="Calibri" w:hAnsi="Calibri"/>
              </w:rPr>
              <w:t>6826</w:t>
            </w:r>
          </w:p>
        </w:tc>
        <w:tc>
          <w:tcPr>
            <w:tcW w:w="992" w:type="dxa"/>
            <w:shd w:val="clear" w:color="auto" w:fill="auto"/>
            <w:noWrap/>
            <w:vAlign w:val="bottom"/>
            <w:hideMark/>
          </w:tcPr>
          <w:p w14:paraId="2938BEBB" w14:textId="77777777" w:rsidR="00EA5D94" w:rsidRPr="00C171EA" w:rsidRDefault="00EA5D94" w:rsidP="002F3D99">
            <w:pPr>
              <w:spacing w:after="0" w:line="240" w:lineRule="auto"/>
              <w:jc w:val="right"/>
              <w:rPr>
                <w:rFonts w:ascii="Calibri" w:hAnsi="Calibri"/>
              </w:rPr>
            </w:pPr>
            <w:r w:rsidRPr="00C171EA">
              <w:rPr>
                <w:rFonts w:ascii="Calibri" w:hAnsi="Calibri"/>
              </w:rPr>
              <w:t>915</w:t>
            </w:r>
          </w:p>
        </w:tc>
        <w:tc>
          <w:tcPr>
            <w:tcW w:w="1023" w:type="dxa"/>
            <w:shd w:val="clear" w:color="auto" w:fill="auto"/>
            <w:noWrap/>
            <w:vAlign w:val="bottom"/>
            <w:hideMark/>
          </w:tcPr>
          <w:p w14:paraId="00F9E554" w14:textId="77777777" w:rsidR="00EA5D94" w:rsidRPr="00C171EA" w:rsidRDefault="00EA5D94" w:rsidP="002F3D99">
            <w:pPr>
              <w:spacing w:after="0" w:line="240" w:lineRule="auto"/>
              <w:jc w:val="right"/>
              <w:rPr>
                <w:rFonts w:ascii="Calibri" w:hAnsi="Calibri"/>
              </w:rPr>
            </w:pPr>
            <w:r w:rsidRPr="00C171EA">
              <w:rPr>
                <w:rFonts w:ascii="Calibri" w:hAnsi="Calibri"/>
              </w:rPr>
              <w:t>11459</w:t>
            </w:r>
          </w:p>
        </w:tc>
        <w:tc>
          <w:tcPr>
            <w:tcW w:w="738" w:type="dxa"/>
            <w:shd w:val="clear" w:color="auto" w:fill="auto"/>
            <w:noWrap/>
            <w:vAlign w:val="bottom"/>
            <w:hideMark/>
          </w:tcPr>
          <w:p w14:paraId="0DDF6F62"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4FC0A7FE" w14:textId="77777777" w:rsidR="00EA5D94" w:rsidRPr="00C171EA" w:rsidRDefault="00EA5D94" w:rsidP="002F3D99">
            <w:pPr>
              <w:spacing w:after="0" w:line="240" w:lineRule="auto"/>
              <w:jc w:val="right"/>
              <w:rPr>
                <w:rFonts w:ascii="Calibri" w:hAnsi="Calibri"/>
              </w:rPr>
            </w:pPr>
            <w:r w:rsidRPr="00C171EA">
              <w:rPr>
                <w:rFonts w:ascii="Calibri" w:hAnsi="Calibri"/>
              </w:rPr>
              <w:t>363</w:t>
            </w:r>
          </w:p>
        </w:tc>
      </w:tr>
      <w:tr w:rsidR="00EA5D94" w:rsidRPr="00C171EA" w14:paraId="747ABD97" w14:textId="77777777" w:rsidTr="00B90D8F">
        <w:trPr>
          <w:trHeight w:val="288"/>
        </w:trPr>
        <w:tc>
          <w:tcPr>
            <w:tcW w:w="836" w:type="dxa"/>
            <w:shd w:val="clear" w:color="auto" w:fill="auto"/>
            <w:noWrap/>
            <w:vAlign w:val="bottom"/>
            <w:hideMark/>
          </w:tcPr>
          <w:p w14:paraId="7D7FBF3D" w14:textId="77777777" w:rsidR="00EA5D94" w:rsidRPr="00C171EA" w:rsidRDefault="00EA5D94" w:rsidP="002F3D99">
            <w:pPr>
              <w:spacing w:after="0" w:line="240" w:lineRule="auto"/>
              <w:jc w:val="right"/>
              <w:rPr>
                <w:rFonts w:ascii="Calibri" w:hAnsi="Calibri"/>
              </w:rPr>
            </w:pPr>
            <w:r w:rsidRPr="00C171EA">
              <w:rPr>
                <w:rFonts w:ascii="Calibri" w:hAnsi="Calibri"/>
              </w:rPr>
              <w:t>2012</w:t>
            </w:r>
          </w:p>
        </w:tc>
        <w:tc>
          <w:tcPr>
            <w:tcW w:w="1023" w:type="dxa"/>
            <w:shd w:val="clear" w:color="auto" w:fill="auto"/>
            <w:noWrap/>
            <w:vAlign w:val="bottom"/>
            <w:hideMark/>
          </w:tcPr>
          <w:p w14:paraId="28D89227" w14:textId="77777777" w:rsidR="00EA5D94" w:rsidRPr="00C171EA" w:rsidRDefault="00EA5D94" w:rsidP="002F3D99">
            <w:pPr>
              <w:spacing w:after="0" w:line="240" w:lineRule="auto"/>
              <w:jc w:val="right"/>
              <w:rPr>
                <w:rFonts w:ascii="Calibri" w:hAnsi="Calibri"/>
              </w:rPr>
            </w:pPr>
            <w:r w:rsidRPr="00C171EA">
              <w:rPr>
                <w:rFonts w:ascii="Calibri" w:hAnsi="Calibri"/>
              </w:rPr>
              <w:t>4536</w:t>
            </w:r>
          </w:p>
        </w:tc>
        <w:tc>
          <w:tcPr>
            <w:tcW w:w="851" w:type="dxa"/>
            <w:shd w:val="clear" w:color="auto" w:fill="auto"/>
            <w:noWrap/>
            <w:vAlign w:val="bottom"/>
            <w:hideMark/>
          </w:tcPr>
          <w:p w14:paraId="176BB9E9" w14:textId="77777777" w:rsidR="00EA5D94" w:rsidRPr="00C171EA" w:rsidRDefault="00EA5D94" w:rsidP="002F3D99">
            <w:pPr>
              <w:spacing w:after="0" w:line="240" w:lineRule="auto"/>
              <w:jc w:val="right"/>
              <w:rPr>
                <w:rFonts w:ascii="Calibri" w:hAnsi="Calibri"/>
              </w:rPr>
            </w:pPr>
            <w:r w:rsidRPr="00C171EA">
              <w:rPr>
                <w:rFonts w:ascii="Calibri" w:hAnsi="Calibri"/>
              </w:rPr>
              <w:t>3629</w:t>
            </w:r>
          </w:p>
        </w:tc>
        <w:tc>
          <w:tcPr>
            <w:tcW w:w="1113" w:type="dxa"/>
            <w:shd w:val="clear" w:color="auto" w:fill="auto"/>
            <w:noWrap/>
            <w:vAlign w:val="bottom"/>
            <w:hideMark/>
          </w:tcPr>
          <w:p w14:paraId="1AC7EE06" w14:textId="77777777" w:rsidR="00EA5D94" w:rsidRPr="00C171EA" w:rsidRDefault="00EA5D94" w:rsidP="002F3D99">
            <w:pPr>
              <w:spacing w:after="0" w:line="240" w:lineRule="auto"/>
              <w:jc w:val="right"/>
              <w:rPr>
                <w:rFonts w:ascii="Calibri" w:hAnsi="Calibri"/>
              </w:rPr>
            </w:pPr>
            <w:r w:rsidRPr="00C171EA">
              <w:rPr>
                <w:rFonts w:ascii="Calibri" w:hAnsi="Calibri"/>
              </w:rPr>
              <w:t>800</w:t>
            </w:r>
          </w:p>
        </w:tc>
        <w:tc>
          <w:tcPr>
            <w:tcW w:w="1023" w:type="dxa"/>
            <w:shd w:val="clear" w:color="auto" w:fill="auto"/>
            <w:noWrap/>
            <w:vAlign w:val="bottom"/>
            <w:hideMark/>
          </w:tcPr>
          <w:p w14:paraId="03030F82" w14:textId="77777777" w:rsidR="00EA5D94" w:rsidRPr="00C171EA" w:rsidRDefault="00EA5D94" w:rsidP="002F3D99">
            <w:pPr>
              <w:spacing w:after="0" w:line="240" w:lineRule="auto"/>
              <w:jc w:val="right"/>
              <w:rPr>
                <w:rFonts w:ascii="Calibri" w:hAnsi="Calibri"/>
              </w:rPr>
            </w:pPr>
            <w:r w:rsidRPr="00C171EA">
              <w:rPr>
                <w:rFonts w:ascii="Calibri" w:hAnsi="Calibri"/>
              </w:rPr>
              <w:t>7962</w:t>
            </w:r>
          </w:p>
        </w:tc>
        <w:tc>
          <w:tcPr>
            <w:tcW w:w="1245" w:type="dxa"/>
            <w:shd w:val="clear" w:color="auto" w:fill="auto"/>
            <w:noWrap/>
            <w:vAlign w:val="bottom"/>
            <w:hideMark/>
          </w:tcPr>
          <w:p w14:paraId="2776B1F7" w14:textId="77777777" w:rsidR="00EA5D94" w:rsidRPr="00C171EA" w:rsidRDefault="00EA5D94" w:rsidP="002F3D99">
            <w:pPr>
              <w:spacing w:after="0" w:line="240" w:lineRule="auto"/>
              <w:jc w:val="right"/>
              <w:rPr>
                <w:rFonts w:ascii="Calibri" w:hAnsi="Calibri"/>
              </w:rPr>
            </w:pPr>
            <w:r w:rsidRPr="00C171EA">
              <w:rPr>
                <w:rFonts w:ascii="Calibri" w:hAnsi="Calibri"/>
              </w:rPr>
              <w:t>9244</w:t>
            </w:r>
          </w:p>
        </w:tc>
        <w:tc>
          <w:tcPr>
            <w:tcW w:w="992" w:type="dxa"/>
            <w:shd w:val="clear" w:color="auto" w:fill="auto"/>
            <w:noWrap/>
            <w:vAlign w:val="bottom"/>
            <w:hideMark/>
          </w:tcPr>
          <w:p w14:paraId="0F960C01" w14:textId="77777777" w:rsidR="00EA5D94" w:rsidRPr="00C171EA" w:rsidRDefault="00EA5D94" w:rsidP="002F3D99">
            <w:pPr>
              <w:spacing w:after="0" w:line="240" w:lineRule="auto"/>
              <w:jc w:val="right"/>
              <w:rPr>
                <w:rFonts w:ascii="Calibri" w:hAnsi="Calibri"/>
              </w:rPr>
            </w:pPr>
            <w:r w:rsidRPr="00C171EA">
              <w:rPr>
                <w:rFonts w:ascii="Calibri" w:hAnsi="Calibri"/>
              </w:rPr>
              <w:t>1161</w:t>
            </w:r>
          </w:p>
        </w:tc>
        <w:tc>
          <w:tcPr>
            <w:tcW w:w="1023" w:type="dxa"/>
            <w:shd w:val="clear" w:color="auto" w:fill="auto"/>
            <w:noWrap/>
            <w:vAlign w:val="bottom"/>
            <w:hideMark/>
          </w:tcPr>
          <w:p w14:paraId="0A57407C" w14:textId="77777777" w:rsidR="00EA5D94" w:rsidRPr="00C171EA" w:rsidRDefault="00EA5D94" w:rsidP="002F3D99">
            <w:pPr>
              <w:spacing w:after="0" w:line="240" w:lineRule="auto"/>
              <w:jc w:val="right"/>
              <w:rPr>
                <w:rFonts w:ascii="Calibri" w:hAnsi="Calibri"/>
              </w:rPr>
            </w:pPr>
            <w:r w:rsidRPr="00C171EA">
              <w:rPr>
                <w:rFonts w:ascii="Calibri" w:hAnsi="Calibri"/>
              </w:rPr>
              <w:t>1130</w:t>
            </w:r>
          </w:p>
        </w:tc>
        <w:tc>
          <w:tcPr>
            <w:tcW w:w="738" w:type="dxa"/>
            <w:shd w:val="clear" w:color="auto" w:fill="auto"/>
            <w:noWrap/>
            <w:vAlign w:val="bottom"/>
            <w:hideMark/>
          </w:tcPr>
          <w:p w14:paraId="5051786A"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60854A28" w14:textId="77777777" w:rsidR="00EA5D94" w:rsidRPr="00C171EA" w:rsidRDefault="00EA5D94" w:rsidP="002F3D99">
            <w:pPr>
              <w:spacing w:after="0" w:line="240" w:lineRule="auto"/>
              <w:jc w:val="right"/>
              <w:rPr>
                <w:rFonts w:ascii="Calibri" w:hAnsi="Calibri"/>
              </w:rPr>
            </w:pPr>
            <w:r w:rsidRPr="00C171EA">
              <w:rPr>
                <w:rFonts w:ascii="Calibri" w:hAnsi="Calibri"/>
              </w:rPr>
              <w:t>361</w:t>
            </w:r>
          </w:p>
        </w:tc>
      </w:tr>
      <w:tr w:rsidR="00EA5D94" w:rsidRPr="00C171EA" w14:paraId="72881532" w14:textId="77777777" w:rsidTr="00B90D8F">
        <w:trPr>
          <w:trHeight w:val="288"/>
        </w:trPr>
        <w:tc>
          <w:tcPr>
            <w:tcW w:w="836" w:type="dxa"/>
            <w:shd w:val="clear" w:color="auto" w:fill="auto"/>
            <w:noWrap/>
            <w:vAlign w:val="bottom"/>
            <w:hideMark/>
          </w:tcPr>
          <w:p w14:paraId="23C83AA0" w14:textId="77777777" w:rsidR="00EA5D94" w:rsidRPr="00C171EA" w:rsidRDefault="00EA5D94" w:rsidP="002F3D99">
            <w:pPr>
              <w:spacing w:after="0" w:line="240" w:lineRule="auto"/>
              <w:jc w:val="right"/>
              <w:rPr>
                <w:rFonts w:ascii="Calibri" w:hAnsi="Calibri"/>
              </w:rPr>
            </w:pPr>
            <w:r w:rsidRPr="00C171EA">
              <w:rPr>
                <w:rFonts w:ascii="Calibri" w:hAnsi="Calibri"/>
              </w:rPr>
              <w:t>2013</w:t>
            </w:r>
          </w:p>
        </w:tc>
        <w:tc>
          <w:tcPr>
            <w:tcW w:w="1023" w:type="dxa"/>
            <w:shd w:val="clear" w:color="auto" w:fill="auto"/>
            <w:noWrap/>
            <w:vAlign w:val="bottom"/>
            <w:hideMark/>
          </w:tcPr>
          <w:p w14:paraId="537DCDD6" w14:textId="77777777" w:rsidR="00EA5D94" w:rsidRPr="00C171EA" w:rsidRDefault="00EA5D94" w:rsidP="002F3D99">
            <w:pPr>
              <w:spacing w:after="0" w:line="240" w:lineRule="auto"/>
              <w:jc w:val="right"/>
              <w:rPr>
                <w:rFonts w:ascii="Calibri" w:hAnsi="Calibri"/>
              </w:rPr>
            </w:pPr>
            <w:r w:rsidRPr="00C171EA">
              <w:rPr>
                <w:rFonts w:ascii="Calibri" w:hAnsi="Calibri"/>
              </w:rPr>
              <w:t>504</w:t>
            </w:r>
          </w:p>
        </w:tc>
        <w:tc>
          <w:tcPr>
            <w:tcW w:w="851" w:type="dxa"/>
            <w:shd w:val="clear" w:color="auto" w:fill="auto"/>
            <w:noWrap/>
            <w:vAlign w:val="bottom"/>
            <w:hideMark/>
          </w:tcPr>
          <w:p w14:paraId="1C4E700C" w14:textId="77777777" w:rsidR="00EA5D94" w:rsidRPr="00C171EA" w:rsidRDefault="00EA5D94" w:rsidP="002F3D99">
            <w:pPr>
              <w:spacing w:after="0" w:line="240" w:lineRule="auto"/>
              <w:jc w:val="right"/>
              <w:rPr>
                <w:rFonts w:ascii="Calibri" w:hAnsi="Calibri"/>
              </w:rPr>
            </w:pPr>
            <w:r w:rsidRPr="00C171EA">
              <w:rPr>
                <w:rFonts w:ascii="Calibri" w:hAnsi="Calibri"/>
              </w:rPr>
              <w:t>383</w:t>
            </w:r>
          </w:p>
        </w:tc>
        <w:tc>
          <w:tcPr>
            <w:tcW w:w="1113" w:type="dxa"/>
            <w:shd w:val="clear" w:color="auto" w:fill="auto"/>
            <w:noWrap/>
            <w:vAlign w:val="bottom"/>
            <w:hideMark/>
          </w:tcPr>
          <w:p w14:paraId="082D4605" w14:textId="77777777" w:rsidR="00EA5D94" w:rsidRPr="00C171EA" w:rsidRDefault="00EA5D94" w:rsidP="002F3D99">
            <w:pPr>
              <w:spacing w:after="0" w:line="240" w:lineRule="auto"/>
              <w:jc w:val="right"/>
              <w:rPr>
                <w:rFonts w:ascii="Calibri" w:hAnsi="Calibri"/>
              </w:rPr>
            </w:pPr>
            <w:r w:rsidRPr="00C171EA">
              <w:rPr>
                <w:rFonts w:ascii="Calibri" w:hAnsi="Calibri"/>
              </w:rPr>
              <w:t>760</w:t>
            </w:r>
          </w:p>
        </w:tc>
        <w:tc>
          <w:tcPr>
            <w:tcW w:w="1023" w:type="dxa"/>
            <w:shd w:val="clear" w:color="auto" w:fill="auto"/>
            <w:noWrap/>
            <w:vAlign w:val="bottom"/>
            <w:hideMark/>
          </w:tcPr>
          <w:p w14:paraId="4BE3D022" w14:textId="77777777" w:rsidR="00EA5D94" w:rsidRPr="00C171EA" w:rsidRDefault="00EA5D94" w:rsidP="002F3D99">
            <w:pPr>
              <w:spacing w:after="0" w:line="240" w:lineRule="auto"/>
              <w:jc w:val="right"/>
              <w:rPr>
                <w:rFonts w:ascii="Calibri" w:hAnsi="Calibri"/>
              </w:rPr>
            </w:pPr>
            <w:r w:rsidRPr="00C171EA">
              <w:rPr>
                <w:rFonts w:ascii="Calibri" w:hAnsi="Calibri"/>
              </w:rPr>
              <w:t>831</w:t>
            </w:r>
          </w:p>
        </w:tc>
        <w:tc>
          <w:tcPr>
            <w:tcW w:w="1245" w:type="dxa"/>
            <w:shd w:val="clear" w:color="auto" w:fill="auto"/>
            <w:noWrap/>
            <w:vAlign w:val="bottom"/>
            <w:hideMark/>
          </w:tcPr>
          <w:p w14:paraId="7DB48988" w14:textId="77777777" w:rsidR="00EA5D94" w:rsidRPr="00C171EA" w:rsidRDefault="00EA5D94" w:rsidP="002F3D99">
            <w:pPr>
              <w:spacing w:after="0" w:line="240" w:lineRule="auto"/>
              <w:jc w:val="right"/>
              <w:rPr>
                <w:rFonts w:ascii="Calibri" w:hAnsi="Calibri"/>
              </w:rPr>
            </w:pPr>
            <w:r w:rsidRPr="00C171EA">
              <w:rPr>
                <w:rFonts w:ascii="Calibri" w:hAnsi="Calibri"/>
              </w:rPr>
              <w:t>1030</w:t>
            </w:r>
          </w:p>
        </w:tc>
        <w:tc>
          <w:tcPr>
            <w:tcW w:w="992" w:type="dxa"/>
            <w:shd w:val="clear" w:color="auto" w:fill="auto"/>
            <w:noWrap/>
            <w:vAlign w:val="bottom"/>
            <w:hideMark/>
          </w:tcPr>
          <w:p w14:paraId="120D16CD" w14:textId="77777777" w:rsidR="00EA5D94" w:rsidRPr="00C171EA" w:rsidRDefault="00EA5D94" w:rsidP="002F3D99">
            <w:pPr>
              <w:spacing w:after="0" w:line="240" w:lineRule="auto"/>
              <w:jc w:val="right"/>
              <w:rPr>
                <w:rFonts w:ascii="Calibri" w:hAnsi="Calibri"/>
              </w:rPr>
            </w:pPr>
            <w:r w:rsidRPr="00C171EA">
              <w:rPr>
                <w:rFonts w:ascii="Calibri" w:hAnsi="Calibri"/>
              </w:rPr>
              <w:t>1240</w:t>
            </w:r>
          </w:p>
        </w:tc>
        <w:tc>
          <w:tcPr>
            <w:tcW w:w="1023" w:type="dxa"/>
            <w:shd w:val="clear" w:color="auto" w:fill="auto"/>
            <w:noWrap/>
            <w:vAlign w:val="bottom"/>
            <w:hideMark/>
          </w:tcPr>
          <w:p w14:paraId="1B307BA2" w14:textId="77777777" w:rsidR="00EA5D94" w:rsidRPr="00C171EA" w:rsidRDefault="00EA5D94" w:rsidP="002F3D99">
            <w:pPr>
              <w:spacing w:after="0" w:line="240" w:lineRule="auto"/>
              <w:jc w:val="right"/>
              <w:rPr>
                <w:rFonts w:ascii="Calibri" w:hAnsi="Calibri"/>
              </w:rPr>
            </w:pPr>
            <w:r w:rsidRPr="00C171EA">
              <w:rPr>
                <w:rFonts w:ascii="Calibri" w:hAnsi="Calibri"/>
              </w:rPr>
              <w:t>4100</w:t>
            </w:r>
          </w:p>
        </w:tc>
        <w:tc>
          <w:tcPr>
            <w:tcW w:w="738" w:type="dxa"/>
            <w:shd w:val="clear" w:color="auto" w:fill="auto"/>
            <w:noWrap/>
            <w:vAlign w:val="bottom"/>
            <w:hideMark/>
          </w:tcPr>
          <w:p w14:paraId="2E03C26E"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6146C1DD" w14:textId="77777777" w:rsidR="00EA5D94" w:rsidRPr="00C171EA" w:rsidRDefault="00EA5D94" w:rsidP="002F3D99">
            <w:pPr>
              <w:spacing w:after="0" w:line="240" w:lineRule="auto"/>
              <w:jc w:val="right"/>
              <w:rPr>
                <w:rFonts w:ascii="Calibri" w:hAnsi="Calibri"/>
              </w:rPr>
            </w:pPr>
            <w:r>
              <w:rPr>
                <w:rFonts w:ascii="Calibri" w:hAnsi="Calibri"/>
              </w:rPr>
              <w:t>NA</w:t>
            </w:r>
            <w:r w:rsidRPr="00C171EA">
              <w:rPr>
                <w:rFonts w:ascii="Calibri" w:hAnsi="Calibri"/>
              </w:rPr>
              <w:t> </w:t>
            </w:r>
          </w:p>
        </w:tc>
      </w:tr>
      <w:tr w:rsidR="00EA5D94" w:rsidRPr="00C171EA" w14:paraId="1817DAF5" w14:textId="77777777" w:rsidTr="00B90D8F">
        <w:trPr>
          <w:trHeight w:val="300"/>
        </w:trPr>
        <w:tc>
          <w:tcPr>
            <w:tcW w:w="836" w:type="dxa"/>
            <w:shd w:val="clear" w:color="auto" w:fill="auto"/>
            <w:noWrap/>
            <w:vAlign w:val="bottom"/>
            <w:hideMark/>
          </w:tcPr>
          <w:p w14:paraId="69A21E2A" w14:textId="77777777" w:rsidR="00EA5D94" w:rsidRPr="00C171EA" w:rsidRDefault="00EA5D94" w:rsidP="002F3D99">
            <w:pPr>
              <w:spacing w:after="0" w:line="240" w:lineRule="auto"/>
              <w:jc w:val="right"/>
              <w:rPr>
                <w:rFonts w:ascii="Calibri" w:hAnsi="Calibri"/>
              </w:rPr>
            </w:pPr>
            <w:r w:rsidRPr="00C171EA">
              <w:rPr>
                <w:rFonts w:ascii="Calibri" w:hAnsi="Calibri"/>
              </w:rPr>
              <w:t>2014</w:t>
            </w:r>
          </w:p>
        </w:tc>
        <w:tc>
          <w:tcPr>
            <w:tcW w:w="1023" w:type="dxa"/>
            <w:shd w:val="clear" w:color="auto" w:fill="auto"/>
            <w:noWrap/>
            <w:vAlign w:val="bottom"/>
            <w:hideMark/>
          </w:tcPr>
          <w:p w14:paraId="0B6C2CF8" w14:textId="77777777" w:rsidR="00EA5D94" w:rsidRPr="00C171EA" w:rsidRDefault="00EA5D94" w:rsidP="002F3D99">
            <w:pPr>
              <w:spacing w:after="0" w:line="240" w:lineRule="auto"/>
              <w:jc w:val="right"/>
              <w:rPr>
                <w:rFonts w:ascii="Calibri" w:hAnsi="Calibri"/>
              </w:rPr>
            </w:pPr>
            <w:r w:rsidRPr="00C171EA">
              <w:rPr>
                <w:rFonts w:ascii="Calibri" w:hAnsi="Calibri"/>
              </w:rPr>
              <w:t>1494</w:t>
            </w:r>
          </w:p>
        </w:tc>
        <w:tc>
          <w:tcPr>
            <w:tcW w:w="851" w:type="dxa"/>
            <w:shd w:val="clear" w:color="auto" w:fill="auto"/>
            <w:noWrap/>
            <w:vAlign w:val="bottom"/>
            <w:hideMark/>
          </w:tcPr>
          <w:p w14:paraId="5005D54C" w14:textId="77777777" w:rsidR="00EA5D94" w:rsidRPr="00C171EA" w:rsidRDefault="00EA5D94" w:rsidP="002F3D99">
            <w:pPr>
              <w:spacing w:after="0" w:line="240" w:lineRule="auto"/>
              <w:jc w:val="right"/>
              <w:rPr>
                <w:rFonts w:ascii="Calibri" w:hAnsi="Calibri"/>
              </w:rPr>
            </w:pPr>
            <w:r w:rsidRPr="00C171EA">
              <w:rPr>
                <w:rFonts w:ascii="Calibri" w:hAnsi="Calibri"/>
              </w:rPr>
              <w:t>0</w:t>
            </w:r>
          </w:p>
        </w:tc>
        <w:tc>
          <w:tcPr>
            <w:tcW w:w="1113" w:type="dxa"/>
            <w:shd w:val="clear" w:color="auto" w:fill="auto"/>
            <w:noWrap/>
            <w:vAlign w:val="bottom"/>
            <w:hideMark/>
          </w:tcPr>
          <w:p w14:paraId="0AD4AF16" w14:textId="77777777" w:rsidR="00EA5D94" w:rsidRPr="00C171EA" w:rsidRDefault="00EA5D94" w:rsidP="002F3D99">
            <w:pPr>
              <w:spacing w:after="0" w:line="240" w:lineRule="auto"/>
              <w:jc w:val="right"/>
              <w:rPr>
                <w:rFonts w:ascii="Calibri" w:hAnsi="Calibri"/>
              </w:rPr>
            </w:pPr>
            <w:r w:rsidRPr="00C171EA">
              <w:rPr>
                <w:rFonts w:ascii="Calibri" w:hAnsi="Calibri"/>
              </w:rPr>
              <w:t> </w:t>
            </w:r>
            <w:r>
              <w:rPr>
                <w:rFonts w:ascii="Calibri" w:hAnsi="Calibri"/>
              </w:rPr>
              <w:t>NA</w:t>
            </w:r>
          </w:p>
        </w:tc>
        <w:tc>
          <w:tcPr>
            <w:tcW w:w="1023" w:type="dxa"/>
            <w:shd w:val="clear" w:color="auto" w:fill="auto"/>
            <w:noWrap/>
            <w:vAlign w:val="bottom"/>
            <w:hideMark/>
          </w:tcPr>
          <w:p w14:paraId="1C4D96BE" w14:textId="77777777" w:rsidR="00EA5D94" w:rsidRPr="00C171EA" w:rsidRDefault="00EA5D94" w:rsidP="002F3D99">
            <w:pPr>
              <w:spacing w:after="0" w:line="240" w:lineRule="auto"/>
              <w:jc w:val="right"/>
              <w:rPr>
                <w:rFonts w:ascii="Calibri" w:hAnsi="Calibri"/>
              </w:rPr>
            </w:pPr>
            <w:r w:rsidRPr="00C171EA">
              <w:rPr>
                <w:rFonts w:ascii="Calibri" w:hAnsi="Calibri"/>
              </w:rPr>
              <w:t>5519</w:t>
            </w:r>
          </w:p>
        </w:tc>
        <w:tc>
          <w:tcPr>
            <w:tcW w:w="1245" w:type="dxa"/>
            <w:shd w:val="clear" w:color="auto" w:fill="auto"/>
            <w:noWrap/>
            <w:vAlign w:val="bottom"/>
            <w:hideMark/>
          </w:tcPr>
          <w:p w14:paraId="679CAFE4" w14:textId="77777777" w:rsidR="00EA5D94" w:rsidRPr="00C171EA" w:rsidRDefault="00EA5D94" w:rsidP="002F3D99">
            <w:pPr>
              <w:spacing w:after="0" w:line="240" w:lineRule="auto"/>
              <w:jc w:val="right"/>
              <w:rPr>
                <w:rFonts w:ascii="Calibri" w:hAnsi="Calibri"/>
              </w:rPr>
            </w:pPr>
            <w:r w:rsidRPr="00C171EA">
              <w:rPr>
                <w:rFonts w:ascii="Calibri" w:hAnsi="Calibri"/>
              </w:rPr>
              <w:t>0</w:t>
            </w:r>
          </w:p>
        </w:tc>
        <w:tc>
          <w:tcPr>
            <w:tcW w:w="992" w:type="dxa"/>
            <w:shd w:val="clear" w:color="auto" w:fill="auto"/>
            <w:noWrap/>
            <w:vAlign w:val="bottom"/>
            <w:hideMark/>
          </w:tcPr>
          <w:p w14:paraId="0114B8DD" w14:textId="77777777" w:rsidR="00EA5D94" w:rsidRPr="00C171EA" w:rsidRDefault="00EA5D94" w:rsidP="002F3D99">
            <w:pPr>
              <w:spacing w:after="0" w:line="240" w:lineRule="auto"/>
              <w:jc w:val="right"/>
              <w:rPr>
                <w:rFonts w:ascii="Calibri" w:hAnsi="Calibri"/>
              </w:rPr>
            </w:pPr>
            <w:r w:rsidRPr="00C171EA">
              <w:rPr>
                <w:rFonts w:ascii="Calibri" w:hAnsi="Calibri"/>
              </w:rPr>
              <w:t> </w:t>
            </w:r>
            <w:r>
              <w:rPr>
                <w:rFonts w:ascii="Calibri" w:hAnsi="Calibri"/>
              </w:rPr>
              <w:t>NA</w:t>
            </w:r>
          </w:p>
        </w:tc>
        <w:tc>
          <w:tcPr>
            <w:tcW w:w="1023" w:type="dxa"/>
            <w:shd w:val="clear" w:color="auto" w:fill="auto"/>
            <w:noWrap/>
            <w:vAlign w:val="bottom"/>
            <w:hideMark/>
          </w:tcPr>
          <w:p w14:paraId="1304B381" w14:textId="77777777" w:rsidR="00EA5D94" w:rsidRPr="00C171EA" w:rsidRDefault="00EA5D94" w:rsidP="002F3D99">
            <w:pPr>
              <w:spacing w:after="0" w:line="240" w:lineRule="auto"/>
              <w:jc w:val="right"/>
              <w:rPr>
                <w:rFonts w:ascii="Calibri" w:hAnsi="Calibri"/>
              </w:rPr>
            </w:pPr>
            <w:r w:rsidRPr="00C171EA">
              <w:rPr>
                <w:rFonts w:ascii="Calibri" w:hAnsi="Calibri"/>
              </w:rPr>
              <w:t> </w:t>
            </w:r>
            <w:r>
              <w:rPr>
                <w:rFonts w:ascii="Calibri" w:hAnsi="Calibri"/>
              </w:rPr>
              <w:t>NA</w:t>
            </w:r>
          </w:p>
        </w:tc>
        <w:tc>
          <w:tcPr>
            <w:tcW w:w="738" w:type="dxa"/>
            <w:shd w:val="clear" w:color="auto" w:fill="auto"/>
            <w:noWrap/>
            <w:vAlign w:val="bottom"/>
            <w:hideMark/>
          </w:tcPr>
          <w:p w14:paraId="36671EB4" w14:textId="77777777" w:rsidR="00EA5D94" w:rsidRPr="00C171EA" w:rsidRDefault="00EA5D94" w:rsidP="002F3D99">
            <w:pPr>
              <w:spacing w:after="0" w:line="240" w:lineRule="auto"/>
              <w:jc w:val="right"/>
              <w:rPr>
                <w:rFonts w:ascii="Calibri" w:hAnsi="Calibri"/>
              </w:rPr>
            </w:pPr>
            <w:r>
              <w:rPr>
                <w:rFonts w:ascii="Calibri" w:hAnsi="Calibri"/>
              </w:rPr>
              <w:t>NA</w:t>
            </w:r>
          </w:p>
        </w:tc>
        <w:tc>
          <w:tcPr>
            <w:tcW w:w="932" w:type="dxa"/>
            <w:shd w:val="clear" w:color="auto" w:fill="auto"/>
            <w:noWrap/>
            <w:vAlign w:val="bottom"/>
            <w:hideMark/>
          </w:tcPr>
          <w:p w14:paraId="2D119F45" w14:textId="77777777" w:rsidR="00EA5D94" w:rsidRPr="00C171EA" w:rsidRDefault="00EA5D94" w:rsidP="002F3D99">
            <w:pPr>
              <w:spacing w:after="0" w:line="240" w:lineRule="auto"/>
              <w:jc w:val="right"/>
              <w:rPr>
                <w:rFonts w:ascii="Calibri" w:hAnsi="Calibri"/>
              </w:rPr>
            </w:pPr>
            <w:r>
              <w:rPr>
                <w:rFonts w:ascii="Calibri" w:hAnsi="Calibri"/>
              </w:rPr>
              <w:t>NA</w:t>
            </w:r>
            <w:r w:rsidRPr="00C171EA">
              <w:rPr>
                <w:rFonts w:ascii="Calibri" w:hAnsi="Calibri"/>
              </w:rPr>
              <w:t> </w:t>
            </w:r>
          </w:p>
        </w:tc>
      </w:tr>
    </w:tbl>
    <w:p w14:paraId="6637A804" w14:textId="77777777" w:rsidR="00EA5D94" w:rsidRDefault="00EA5D94" w:rsidP="00EA5D94">
      <w:pPr>
        <w:jc w:val="both"/>
      </w:pPr>
      <w:r>
        <w:t>Sources: FAO STAT, GBOS, GGC</w:t>
      </w:r>
    </w:p>
    <w:p w14:paraId="00359872" w14:textId="4808D0E5" w:rsidR="00EA5D94" w:rsidRPr="00FF4B9A" w:rsidRDefault="00EA5D94" w:rsidP="00EA5D94">
      <w:pPr>
        <w:spacing w:line="360" w:lineRule="auto"/>
        <w:jc w:val="both"/>
      </w:pPr>
      <w:r w:rsidRPr="00FF4B9A">
        <w:t>In the past, the EU was the principal destination of groundnut (HPS and crude oil) exports, but recently the aflatoxin contamination of Gambian groundnuts destined for exports have been higher than the maximum limits set by the EU regulations</w:t>
      </w:r>
      <w:r w:rsidR="00FA35AB">
        <w:t>,</w:t>
      </w:r>
      <w:r w:rsidR="00FA35AB">
        <w:rPr>
          <w:color w:val="FF0000"/>
        </w:rPr>
        <w:t xml:space="preserve"> </w:t>
      </w:r>
      <w:r w:rsidRPr="00FF4B9A">
        <w:rPr>
          <w:color w:val="auto"/>
        </w:rPr>
        <w:t xml:space="preserve">as such </w:t>
      </w:r>
      <w:r w:rsidRPr="00FF4B9A">
        <w:t xml:space="preserve">the only products now exported to the EU are bird feed and crude oil. However recent consignments of bird feed exported to EU have been rejected due to high aflatoxin contamination levels above the EU set maximum levels resulting in </w:t>
      </w:r>
      <w:r w:rsidR="0030538B" w:rsidRPr="0030538B">
        <w:rPr>
          <w:color w:val="auto"/>
        </w:rPr>
        <w:t>14</w:t>
      </w:r>
      <w:r w:rsidRPr="0030538B">
        <w:rPr>
          <w:color w:val="auto"/>
        </w:rPr>
        <w:t xml:space="preserve"> </w:t>
      </w:r>
      <w:r w:rsidRPr="00FF4B9A">
        <w:t>rapid alerts</w:t>
      </w:r>
      <w:r w:rsidR="0030538B">
        <w:t xml:space="preserve"> between March 2012 and May 2015</w:t>
      </w:r>
      <w:r w:rsidRPr="00FF4B9A">
        <w:t xml:space="preserve">. In the contrary, exports of crude oil to the EU have increased over the years. There are smaller quantities of HPS exports going to Asia (mainly Vietnam), where the maximum levels </w:t>
      </w:r>
      <w:r w:rsidRPr="00FF4B9A">
        <w:lastRenderedPageBreak/>
        <w:t xml:space="preserve">for aflatoxin are less stringent. All these products are for further processing. Groundnut cake is exported primarily to Senegal and Mauritania where aflatoxin contamination is not a barrier.  The Gambia does not export maize and the locally produced rice, but some of the imported rice is re-exported to countries in the sub-region where aflatoxin contamination is not a barrier. The economic analysis therefore focuses on the groundnut export trade where aflatoxin contamination is a factor in the pricing and market access.             </w:t>
      </w:r>
    </w:p>
    <w:p w14:paraId="00CCA13C" w14:textId="77777777" w:rsidR="00EA5D94" w:rsidRPr="00FF4B9A" w:rsidRDefault="00EA5D94" w:rsidP="00EA5D94">
      <w:pPr>
        <w:spacing w:line="360" w:lineRule="auto"/>
      </w:pPr>
      <w:r w:rsidRPr="00FF4B9A">
        <w:t xml:space="preserve">The economic losses from exports of groundnut products can be categorized into two: i) price losses and ii) rejects due to aflatoxin contamination. </w:t>
      </w:r>
    </w:p>
    <w:p w14:paraId="45522954" w14:textId="1EF84DE6" w:rsidR="00EA5D94" w:rsidRDefault="00AB7996" w:rsidP="003E003B">
      <w:pPr>
        <w:pStyle w:val="Heading3"/>
        <w:spacing w:line="480" w:lineRule="auto"/>
        <w:jc w:val="both"/>
      </w:pPr>
      <w:bookmarkStart w:id="30" w:name="_Toc427672767"/>
      <w:r>
        <w:t>8</w:t>
      </w:r>
      <w:r w:rsidR="006A4118" w:rsidRPr="006A4118">
        <w:t>.</w:t>
      </w:r>
      <w:r w:rsidR="00AE7FD8">
        <w:t>3</w:t>
      </w:r>
      <w:r w:rsidR="006A4118" w:rsidRPr="006A4118">
        <w:t xml:space="preserve">.1 </w:t>
      </w:r>
      <w:r w:rsidR="00EA5D94" w:rsidRPr="006A4118">
        <w:t>Price Losses</w:t>
      </w:r>
      <w:bookmarkEnd w:id="30"/>
    </w:p>
    <w:p w14:paraId="71E7E4D3" w14:textId="6B49AEFC" w:rsidR="00AB6D43" w:rsidRDefault="00EA5D94" w:rsidP="00EA5D94">
      <w:pPr>
        <w:spacing w:line="360" w:lineRule="auto"/>
        <w:jc w:val="both"/>
      </w:pPr>
      <w:r w:rsidRPr="00FF4B9A">
        <w:t>Price losses are incurred for HPS confectionery with the HPS destined for the “wild bird feed’’ markets in the EU countries, where it fetches only 70% of premium price. Computations using international premium and actual prices for HPS 60/70 Bird Feed from 2000 to 2014 indicate</w:t>
      </w:r>
      <w:r w:rsidRPr="00FF4B9A">
        <w:rPr>
          <w:color w:val="FF0000"/>
        </w:rPr>
        <w:t xml:space="preserve"> </w:t>
      </w:r>
      <w:r w:rsidRPr="00FF4B9A">
        <w:t xml:space="preserve">cumulative economic losses of USD 22,874,517. This translates to an annual average </w:t>
      </w:r>
      <w:r w:rsidR="002C1CFD">
        <w:t xml:space="preserve">price </w:t>
      </w:r>
      <w:r w:rsidRPr="00FF4B9A">
        <w:t xml:space="preserve"> loss of USD 1,524,968 over the period. </w:t>
      </w:r>
    </w:p>
    <w:p w14:paraId="6FB127DE" w14:textId="77777777" w:rsidR="00AB6D43" w:rsidRDefault="00AB6D43" w:rsidP="00AB6D43">
      <w:pPr>
        <w:spacing w:line="360" w:lineRule="auto"/>
        <w:jc w:val="both"/>
      </w:pPr>
      <w:r>
        <w:t>The computations were done using the following equations:</w:t>
      </w:r>
      <w:r w:rsidRPr="00FF4B9A">
        <w:t xml:space="preserve"> </w:t>
      </w:r>
    </w:p>
    <w:p w14:paraId="7A535061" w14:textId="77777777" w:rsidR="00AB6D43" w:rsidRPr="008B7984" w:rsidRDefault="00AB6D43" w:rsidP="00AB6D43">
      <w:pPr>
        <w:ind w:left="360"/>
        <w:jc w:val="both"/>
        <w:rPr>
          <w:b/>
          <w:sz w:val="28"/>
          <w:szCs w:val="28"/>
        </w:rPr>
      </w:pPr>
      <w:r w:rsidRPr="008B7984">
        <w:rPr>
          <w:b/>
          <w:sz w:val="28"/>
          <w:szCs w:val="28"/>
        </w:rPr>
        <w:t>EL</w:t>
      </w:r>
      <w:r w:rsidRPr="008B7984">
        <w:rPr>
          <w:b/>
          <w:sz w:val="28"/>
          <w:szCs w:val="28"/>
          <w:vertAlign w:val="subscript"/>
        </w:rPr>
        <w:t xml:space="preserve">Si </w:t>
      </w:r>
      <w:r w:rsidRPr="008B7984">
        <w:rPr>
          <w:b/>
          <w:sz w:val="28"/>
          <w:szCs w:val="28"/>
        </w:rPr>
        <w:t>= ∑</w:t>
      </w:r>
      <w:r w:rsidRPr="008B7984">
        <w:rPr>
          <w:b/>
          <w:sz w:val="28"/>
          <w:szCs w:val="28"/>
          <w:vertAlign w:val="subscript"/>
        </w:rPr>
        <w:t>i</w:t>
      </w:r>
      <w:r w:rsidRPr="008B7984">
        <w:rPr>
          <w:b/>
          <w:sz w:val="28"/>
          <w:szCs w:val="28"/>
          <w:vertAlign w:val="superscript"/>
        </w:rPr>
        <w:t>n</w:t>
      </w:r>
      <w:r w:rsidRPr="008B7984">
        <w:rPr>
          <w:b/>
          <w:sz w:val="28"/>
          <w:szCs w:val="28"/>
          <w:vertAlign w:val="subscript"/>
        </w:rPr>
        <w:t xml:space="preserve"> </w:t>
      </w:r>
      <w:r w:rsidRPr="008B7984">
        <w:rPr>
          <w:b/>
          <w:sz w:val="28"/>
          <w:szCs w:val="28"/>
        </w:rPr>
        <w:t>(X</w:t>
      </w:r>
      <w:r w:rsidRPr="008B7984">
        <w:rPr>
          <w:b/>
          <w:sz w:val="28"/>
          <w:szCs w:val="28"/>
          <w:vertAlign w:val="subscript"/>
        </w:rPr>
        <w:t xml:space="preserve">i </w:t>
      </w:r>
      <w:r w:rsidRPr="008B7984">
        <w:rPr>
          <w:b/>
          <w:sz w:val="28"/>
          <w:szCs w:val="28"/>
        </w:rPr>
        <w:t>*Y</w:t>
      </w:r>
      <w:r w:rsidRPr="008B7984">
        <w:rPr>
          <w:b/>
          <w:sz w:val="28"/>
          <w:szCs w:val="28"/>
          <w:vertAlign w:val="subscript"/>
        </w:rPr>
        <w:t xml:space="preserve">i </w:t>
      </w:r>
      <w:r w:rsidRPr="008B7984">
        <w:rPr>
          <w:b/>
          <w:sz w:val="28"/>
          <w:szCs w:val="28"/>
        </w:rPr>
        <w:t>)</w:t>
      </w:r>
      <w:r w:rsidRPr="008B7984">
        <w:rPr>
          <w:b/>
          <w:sz w:val="28"/>
          <w:szCs w:val="28"/>
        </w:rPr>
        <w:tab/>
      </w:r>
      <w:r w:rsidRPr="008B7984">
        <w:rPr>
          <w:b/>
          <w:sz w:val="28"/>
          <w:szCs w:val="28"/>
        </w:rPr>
        <w:tab/>
      </w:r>
      <w:r w:rsidRPr="008B7984">
        <w:rPr>
          <w:b/>
          <w:sz w:val="28"/>
          <w:szCs w:val="28"/>
        </w:rPr>
        <w:tab/>
      </w:r>
      <w:r w:rsidRPr="008B7984">
        <w:rPr>
          <w:b/>
          <w:sz w:val="28"/>
          <w:szCs w:val="28"/>
        </w:rPr>
        <w:tab/>
      </w:r>
      <w:r w:rsidRPr="008B7984">
        <w:rPr>
          <w:b/>
          <w:sz w:val="28"/>
          <w:szCs w:val="28"/>
        </w:rPr>
        <w:tab/>
      </w:r>
      <w:r w:rsidRPr="008B7984">
        <w:rPr>
          <w:b/>
          <w:sz w:val="28"/>
          <w:szCs w:val="28"/>
        </w:rPr>
        <w:tab/>
      </w:r>
      <w:r w:rsidRPr="008B7984">
        <w:rPr>
          <w:b/>
          <w:sz w:val="28"/>
          <w:szCs w:val="28"/>
        </w:rPr>
        <w:tab/>
        <w:t>(1)</w:t>
      </w:r>
    </w:p>
    <w:p w14:paraId="693F8642" w14:textId="5A5F55FA" w:rsidR="00AB6D43" w:rsidRPr="008B7984" w:rsidRDefault="00AB6D43" w:rsidP="00AB6D43">
      <w:pPr>
        <w:ind w:left="1170" w:hanging="1170"/>
        <w:jc w:val="both"/>
      </w:pPr>
      <w:r w:rsidRPr="008B7984">
        <w:rPr>
          <w:b/>
        </w:rPr>
        <w:t>Where EL</w:t>
      </w:r>
      <w:r w:rsidRPr="008B7984">
        <w:rPr>
          <w:b/>
          <w:vertAlign w:val="subscript"/>
        </w:rPr>
        <w:t xml:space="preserve">si </w:t>
      </w:r>
      <w:r w:rsidRPr="008B7984">
        <w:t xml:space="preserve">= the Price Economic Loss incurred in the export of shelled or </w:t>
      </w:r>
      <w:r w:rsidR="00B328F2">
        <w:t>HPS confectione</w:t>
      </w:r>
      <w:r w:rsidRPr="008B7984">
        <w:t>ry groundnuts for a particular year (i)</w:t>
      </w:r>
    </w:p>
    <w:p w14:paraId="450E76E8" w14:textId="77777777" w:rsidR="00AB6D43" w:rsidRPr="008B7984" w:rsidRDefault="00AB6D43" w:rsidP="00AB6D43">
      <w:pPr>
        <w:ind w:left="720" w:hanging="720"/>
        <w:jc w:val="both"/>
      </w:pPr>
      <w:r w:rsidRPr="008B7984">
        <w:rPr>
          <w:b/>
        </w:rPr>
        <w:tab/>
        <w:t>X</w:t>
      </w:r>
      <w:r w:rsidRPr="008B7984">
        <w:rPr>
          <w:b/>
          <w:vertAlign w:val="subscript"/>
        </w:rPr>
        <w:t xml:space="preserve">i </w:t>
      </w:r>
      <w:r w:rsidRPr="008B7984">
        <w:t>= quantity of total groundnut exported for a particular year in a confectionary form.</w:t>
      </w:r>
    </w:p>
    <w:p w14:paraId="56F46F75" w14:textId="16723928" w:rsidR="00AB6D43" w:rsidRPr="008B7984" w:rsidRDefault="00AB6D43" w:rsidP="00AB6D43">
      <w:pPr>
        <w:tabs>
          <w:tab w:val="left" w:pos="720"/>
        </w:tabs>
        <w:ind w:left="1080" w:hanging="900"/>
        <w:jc w:val="both"/>
      </w:pPr>
      <w:r w:rsidRPr="008B7984">
        <w:rPr>
          <w:b/>
        </w:rPr>
        <w:tab/>
        <w:t>Y</w:t>
      </w:r>
      <w:r w:rsidRPr="008B7984">
        <w:rPr>
          <w:b/>
          <w:vertAlign w:val="subscript"/>
        </w:rPr>
        <w:t xml:space="preserve">i </w:t>
      </w:r>
      <w:r w:rsidRPr="008B7984">
        <w:t>= price differential between international premium price (PP</w:t>
      </w:r>
      <w:r w:rsidRPr="008B7984">
        <w:rPr>
          <w:vertAlign w:val="subscript"/>
        </w:rPr>
        <w:t xml:space="preserve">i </w:t>
      </w:r>
      <w:r w:rsidRPr="008B7984">
        <w:t>) and actual price (AP</w:t>
      </w:r>
      <w:r w:rsidRPr="008B7984">
        <w:rPr>
          <w:vertAlign w:val="subscript"/>
        </w:rPr>
        <w:t xml:space="preserve">i </w:t>
      </w:r>
      <w:r w:rsidR="00B328F2">
        <w:t>) of total exported confectione</w:t>
      </w:r>
      <w:r w:rsidRPr="008B7984">
        <w:t>ry groundnuts for a particular year i.e (PP</w:t>
      </w:r>
      <w:r w:rsidRPr="008B7984">
        <w:rPr>
          <w:vertAlign w:val="subscript"/>
        </w:rPr>
        <w:t>i</w:t>
      </w:r>
      <w:r w:rsidRPr="008B7984">
        <w:t xml:space="preserve"> – AP</w:t>
      </w:r>
      <w:r w:rsidRPr="008B7984">
        <w:rPr>
          <w:vertAlign w:val="subscript"/>
        </w:rPr>
        <w:t>i</w:t>
      </w:r>
      <w:r w:rsidRPr="008B7984">
        <w:t>)</w:t>
      </w:r>
      <w:r>
        <w:t xml:space="preserve"> </w:t>
      </w:r>
    </w:p>
    <w:p w14:paraId="477D6EFF" w14:textId="77777777" w:rsidR="00AB6D43" w:rsidRDefault="00AB6D43" w:rsidP="00EA5D94">
      <w:pPr>
        <w:spacing w:line="360" w:lineRule="auto"/>
        <w:jc w:val="both"/>
      </w:pPr>
    </w:p>
    <w:p w14:paraId="65974E83" w14:textId="37076522" w:rsidR="00EA5D94" w:rsidRDefault="00EA5D94" w:rsidP="00EA5D94">
      <w:pPr>
        <w:spacing w:line="360" w:lineRule="auto"/>
        <w:jc w:val="both"/>
        <w:rPr>
          <w:rFonts w:ascii="Calibri" w:hAnsi="Calibri"/>
        </w:rPr>
      </w:pPr>
      <w:r w:rsidRPr="00FF4B9A">
        <w:t xml:space="preserve">Figure </w:t>
      </w:r>
      <w:r w:rsidR="002A65DA">
        <w:t>3</w:t>
      </w:r>
      <w:r w:rsidRPr="00FF4B9A">
        <w:t xml:space="preserve"> presents details</w:t>
      </w:r>
      <w:r w:rsidR="002B17A0">
        <w:t xml:space="preserve"> for all three categories of economic losses: shelled (HPS), groundnut cake and rejects from the Rapid Alerts for period 2</w:t>
      </w:r>
      <w:r w:rsidR="00B15B6A">
        <w:t>0</w:t>
      </w:r>
      <w:r w:rsidR="002B17A0">
        <w:t>00-2014</w:t>
      </w:r>
      <w:r w:rsidRPr="00FF4B9A">
        <w:t xml:space="preserve">. Figure </w:t>
      </w:r>
      <w:r w:rsidR="002B17A0">
        <w:t>3</w:t>
      </w:r>
      <w:r w:rsidR="00E153FB">
        <w:t xml:space="preserve"> </w:t>
      </w:r>
      <w:r w:rsidRPr="00FF4B9A">
        <w:t xml:space="preserve">also </w:t>
      </w:r>
      <w:r w:rsidR="002B17A0">
        <w:t>highlights</w:t>
      </w:r>
      <w:r w:rsidRPr="00FF4B9A">
        <w:t xml:space="preserve"> the annual economic loss incurred from the export of HPS reached a peak of US$2,759,400 in 2009 with downward trend thereafter due to declining exports. </w:t>
      </w:r>
      <w:r>
        <w:rPr>
          <w:rFonts w:ascii="Calibri" w:hAnsi="Calibri"/>
        </w:rPr>
        <w:t xml:space="preserve"> </w:t>
      </w:r>
    </w:p>
    <w:p w14:paraId="0E788957" w14:textId="77777777" w:rsidR="00E426A4" w:rsidRDefault="00E426A4" w:rsidP="00EA5D94">
      <w:pPr>
        <w:spacing w:line="360" w:lineRule="auto"/>
        <w:jc w:val="both"/>
        <w:rPr>
          <w:rFonts w:ascii="Calibri" w:hAnsi="Calibri"/>
        </w:rPr>
      </w:pPr>
    </w:p>
    <w:p w14:paraId="78ABF1CB" w14:textId="77777777" w:rsidR="00EA5D94" w:rsidRDefault="00EA5D94" w:rsidP="00B90D8F">
      <w:pPr>
        <w:jc w:val="center"/>
      </w:pPr>
      <w:r>
        <w:rPr>
          <w:noProof/>
          <w:lang w:val="en-US" w:eastAsia="en-US"/>
        </w:rPr>
        <w:lastRenderedPageBreak/>
        <w:drawing>
          <wp:inline distT="0" distB="0" distL="0" distR="0" wp14:anchorId="2A707197" wp14:editId="2EE3B5AA">
            <wp:extent cx="4962525" cy="32670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6802C3" w14:textId="214E902E" w:rsidR="00EA5D94" w:rsidRDefault="00EA5D94" w:rsidP="00455D60">
      <w:pPr>
        <w:spacing w:after="0" w:line="240" w:lineRule="auto"/>
        <w:jc w:val="both"/>
      </w:pPr>
      <w:r>
        <w:t xml:space="preserve">                          Source: </w:t>
      </w:r>
      <w:r w:rsidR="00B00C96">
        <w:t>This study</w:t>
      </w:r>
    </w:p>
    <w:p w14:paraId="4CBD09E7" w14:textId="77777777" w:rsidR="00F06998" w:rsidRDefault="00F06998" w:rsidP="00455D60">
      <w:pPr>
        <w:spacing w:after="0" w:line="240" w:lineRule="auto"/>
        <w:jc w:val="both"/>
      </w:pPr>
    </w:p>
    <w:p w14:paraId="15B7D8CE" w14:textId="77777777" w:rsidR="00455D60" w:rsidRDefault="00455D60" w:rsidP="00455D60">
      <w:pPr>
        <w:spacing w:after="0" w:line="240" w:lineRule="auto"/>
        <w:jc w:val="both"/>
      </w:pPr>
    </w:p>
    <w:p w14:paraId="4541FB08" w14:textId="3F4096DF" w:rsidR="003400F5" w:rsidRDefault="00EA5D94" w:rsidP="003400F5">
      <w:pPr>
        <w:spacing w:line="360" w:lineRule="auto"/>
        <w:jc w:val="both"/>
      </w:pPr>
      <w:r w:rsidRPr="00FF4B9A">
        <w:t xml:space="preserve">The groundnut cake </w:t>
      </w:r>
      <w:r w:rsidR="00F06998">
        <w:t>is</w:t>
      </w:r>
      <w:r w:rsidRPr="00FF4B9A">
        <w:t xml:space="preserve"> mainly exported to Senegal and Mauritania</w:t>
      </w:r>
      <w:r w:rsidR="00CA1BFB">
        <w:t>, not meeting the food safety regulations of the EU markets</w:t>
      </w:r>
      <w:r w:rsidRPr="00FF4B9A">
        <w:t>. Computations using international price of groundnut cake meeting the maximum aflatoxin level set by the EU and actual prices of</w:t>
      </w:r>
      <w:r w:rsidR="00767C93">
        <w:t xml:space="preserve"> </w:t>
      </w:r>
      <w:r w:rsidRPr="00FF4B9A">
        <w:t xml:space="preserve"> cake </w:t>
      </w:r>
      <w:r w:rsidR="002D4901">
        <w:t xml:space="preserve">exported to Senegal and Mauritania </w:t>
      </w:r>
      <w:r w:rsidRPr="00FF4B9A">
        <w:t>from 2010 to 2014 indicate a cumulative economic loss of US$2,520 991. Th</w:t>
      </w:r>
      <w:r w:rsidR="008A176C">
        <w:t>e</w:t>
      </w:r>
      <w:r w:rsidRPr="00FF4B9A">
        <w:t xml:space="preserve"> average annual loss to cake amount</w:t>
      </w:r>
      <w:r w:rsidR="008A176C">
        <w:t>s</w:t>
      </w:r>
      <w:r w:rsidRPr="00FF4B9A">
        <w:t xml:space="preserve"> to US$504,198. The cumulative economic losses from both HPS and cake amount to US$25,395,508.</w:t>
      </w:r>
      <w:r w:rsidR="003400F5">
        <w:t xml:space="preserve"> The determination of the losses was computed using the following equation:</w:t>
      </w:r>
    </w:p>
    <w:p w14:paraId="0F484D82" w14:textId="77777777" w:rsidR="003400F5" w:rsidRPr="008B7984" w:rsidRDefault="003400F5" w:rsidP="003400F5">
      <w:pPr>
        <w:ind w:left="270" w:hanging="270"/>
        <w:jc w:val="both"/>
        <w:rPr>
          <w:b/>
          <w:sz w:val="32"/>
          <w:szCs w:val="32"/>
        </w:rPr>
      </w:pPr>
      <w:r w:rsidRPr="008B7984">
        <w:tab/>
      </w:r>
      <w:r w:rsidRPr="008B7984">
        <w:rPr>
          <w:b/>
          <w:sz w:val="32"/>
          <w:szCs w:val="32"/>
        </w:rPr>
        <w:t>EL</w:t>
      </w:r>
      <w:r w:rsidRPr="008B7984">
        <w:rPr>
          <w:b/>
          <w:sz w:val="32"/>
          <w:szCs w:val="32"/>
          <w:vertAlign w:val="subscript"/>
        </w:rPr>
        <w:t xml:space="preserve">Ci </w:t>
      </w:r>
      <w:r w:rsidRPr="008B7984">
        <w:rPr>
          <w:b/>
          <w:sz w:val="32"/>
          <w:szCs w:val="32"/>
        </w:rPr>
        <w:t>= ∑</w:t>
      </w:r>
      <w:r w:rsidRPr="008B7984">
        <w:rPr>
          <w:b/>
          <w:sz w:val="32"/>
          <w:szCs w:val="32"/>
          <w:vertAlign w:val="superscript"/>
        </w:rPr>
        <w:t xml:space="preserve">n </w:t>
      </w:r>
      <w:r w:rsidRPr="008B7984">
        <w:rPr>
          <w:b/>
          <w:sz w:val="32"/>
          <w:szCs w:val="32"/>
        </w:rPr>
        <w:t>(x</w:t>
      </w:r>
      <w:r w:rsidRPr="008B7984">
        <w:rPr>
          <w:b/>
          <w:sz w:val="32"/>
          <w:szCs w:val="32"/>
          <w:vertAlign w:val="subscript"/>
        </w:rPr>
        <w:t xml:space="preserve">i * </w:t>
      </w:r>
      <w:r w:rsidRPr="008B7984">
        <w:rPr>
          <w:b/>
          <w:sz w:val="32"/>
          <w:szCs w:val="32"/>
        </w:rPr>
        <w:t>z</w:t>
      </w:r>
      <w:r w:rsidRPr="008B7984">
        <w:rPr>
          <w:b/>
          <w:sz w:val="32"/>
          <w:szCs w:val="32"/>
          <w:vertAlign w:val="subscript"/>
        </w:rPr>
        <w:t xml:space="preserve">i </w:t>
      </w:r>
      <w:r w:rsidRPr="008B7984">
        <w:rPr>
          <w:b/>
          <w:sz w:val="32"/>
          <w:szCs w:val="32"/>
        </w:rPr>
        <w:t>)</w:t>
      </w:r>
      <w:r w:rsidRPr="008B7984">
        <w:rPr>
          <w:b/>
          <w:sz w:val="32"/>
          <w:szCs w:val="32"/>
        </w:rPr>
        <w:tab/>
      </w:r>
      <w:r w:rsidRPr="008B7984">
        <w:rPr>
          <w:b/>
          <w:sz w:val="32"/>
          <w:szCs w:val="32"/>
        </w:rPr>
        <w:tab/>
      </w:r>
      <w:r w:rsidRPr="008B7984">
        <w:rPr>
          <w:b/>
          <w:sz w:val="32"/>
          <w:szCs w:val="32"/>
        </w:rPr>
        <w:tab/>
      </w:r>
      <w:r w:rsidRPr="008B7984">
        <w:rPr>
          <w:b/>
          <w:sz w:val="32"/>
          <w:szCs w:val="32"/>
        </w:rPr>
        <w:tab/>
      </w:r>
      <w:r w:rsidRPr="008B7984">
        <w:rPr>
          <w:b/>
          <w:sz w:val="32"/>
          <w:szCs w:val="32"/>
        </w:rPr>
        <w:tab/>
      </w:r>
      <w:r w:rsidRPr="008B7984">
        <w:rPr>
          <w:b/>
          <w:sz w:val="32"/>
          <w:szCs w:val="32"/>
        </w:rPr>
        <w:tab/>
        <w:t>(2)</w:t>
      </w:r>
    </w:p>
    <w:p w14:paraId="63D22168" w14:textId="77777777" w:rsidR="003400F5" w:rsidRPr="008B7984" w:rsidRDefault="003400F5" w:rsidP="003400F5">
      <w:pPr>
        <w:ind w:left="1170" w:hanging="1170"/>
        <w:jc w:val="both"/>
      </w:pPr>
      <w:r w:rsidRPr="008B7984">
        <w:t>Where EL</w:t>
      </w:r>
      <w:r w:rsidRPr="008B7984">
        <w:rPr>
          <w:vertAlign w:val="subscript"/>
        </w:rPr>
        <w:t xml:space="preserve">Ci </w:t>
      </w:r>
      <w:r w:rsidRPr="008B7984">
        <w:t>= Economic Loss from groundnut cake trade in the sub-region and beyond for a particular year</w:t>
      </w:r>
    </w:p>
    <w:p w14:paraId="0F5880EE" w14:textId="77777777" w:rsidR="003400F5" w:rsidRPr="008B7984" w:rsidRDefault="003400F5" w:rsidP="003400F5">
      <w:pPr>
        <w:ind w:left="270" w:hanging="270"/>
        <w:jc w:val="both"/>
      </w:pPr>
      <w:r w:rsidRPr="008B7984">
        <w:tab/>
      </w:r>
      <w:r w:rsidRPr="008B7984">
        <w:tab/>
        <w:t>x</w:t>
      </w:r>
      <w:r w:rsidRPr="008B7984">
        <w:rPr>
          <w:vertAlign w:val="subscript"/>
        </w:rPr>
        <w:t xml:space="preserve">i </w:t>
      </w:r>
      <w:r w:rsidRPr="008B7984">
        <w:t>= quantity of groundnut cake exported for a particular year</w:t>
      </w:r>
    </w:p>
    <w:p w14:paraId="5156DE63" w14:textId="77777777" w:rsidR="003400F5" w:rsidRPr="008B7984" w:rsidRDefault="003400F5" w:rsidP="003400F5">
      <w:pPr>
        <w:ind w:left="1440" w:hanging="720"/>
        <w:jc w:val="both"/>
      </w:pPr>
      <w:r w:rsidRPr="008B7984">
        <w:t>z</w:t>
      </w:r>
      <w:r w:rsidRPr="008B7984">
        <w:rPr>
          <w:vertAlign w:val="subscript"/>
        </w:rPr>
        <w:t xml:space="preserve">i </w:t>
      </w:r>
      <w:r w:rsidRPr="008B7984">
        <w:t>= Price differential between detoxified groundnut cake (P</w:t>
      </w:r>
      <w:r w:rsidRPr="008B7984">
        <w:rPr>
          <w:vertAlign w:val="subscript"/>
        </w:rPr>
        <w:t xml:space="preserve">d </w:t>
      </w:r>
      <w:r w:rsidRPr="008B7984">
        <w:t>) and non-detoxified (P</w:t>
      </w:r>
      <w:r w:rsidRPr="008B7984">
        <w:rPr>
          <w:vertAlign w:val="subscript"/>
        </w:rPr>
        <w:t>n</w:t>
      </w:r>
      <w:r w:rsidRPr="008B7984">
        <w:t xml:space="preserve"> ) </w:t>
      </w:r>
    </w:p>
    <w:p w14:paraId="0C9E5116" w14:textId="77777777" w:rsidR="003400F5" w:rsidRDefault="003400F5" w:rsidP="003400F5">
      <w:pPr>
        <w:spacing w:line="360" w:lineRule="auto"/>
        <w:jc w:val="both"/>
      </w:pPr>
      <w:r w:rsidRPr="008B7984">
        <w:t>n = the number of years of groundnut cake exports</w:t>
      </w:r>
    </w:p>
    <w:p w14:paraId="439D5A29" w14:textId="537F1ACA" w:rsidR="00EA5D94" w:rsidRPr="00271E79" w:rsidRDefault="00AB7996" w:rsidP="003E003B">
      <w:pPr>
        <w:pStyle w:val="Heading3"/>
        <w:spacing w:line="480" w:lineRule="auto"/>
        <w:jc w:val="both"/>
      </w:pPr>
      <w:bookmarkStart w:id="31" w:name="_Toc427672768"/>
      <w:r w:rsidRPr="00271E79">
        <w:t>8</w:t>
      </w:r>
      <w:r w:rsidR="006A4118" w:rsidRPr="00271E79">
        <w:t>.</w:t>
      </w:r>
      <w:r w:rsidR="00AE7FD8" w:rsidRPr="00271E79">
        <w:t>3</w:t>
      </w:r>
      <w:r w:rsidR="006A4118" w:rsidRPr="00271E79">
        <w:t>.2 L</w:t>
      </w:r>
      <w:r w:rsidR="00F57F75" w:rsidRPr="00271E79">
        <w:t>osses resulting from r</w:t>
      </w:r>
      <w:r w:rsidR="006A4118" w:rsidRPr="00271E79">
        <w:t>ejected exports</w:t>
      </w:r>
      <w:bookmarkEnd w:id="31"/>
      <w:r w:rsidR="006A4118" w:rsidRPr="00271E79">
        <w:t xml:space="preserve">  </w:t>
      </w:r>
    </w:p>
    <w:p w14:paraId="5F12C486" w14:textId="2408FCA5" w:rsidR="003400F5" w:rsidRDefault="00EA5D94" w:rsidP="003400F5">
      <w:pPr>
        <w:spacing w:line="360" w:lineRule="auto"/>
        <w:jc w:val="both"/>
        <w:rPr>
          <w:color w:val="000000" w:themeColor="text1"/>
        </w:rPr>
      </w:pPr>
      <w:r w:rsidRPr="00FF4B9A">
        <w:t xml:space="preserve">Groundnut exports whose level of aflatoxin exceed 4ppb and therefore do not meet </w:t>
      </w:r>
      <w:r w:rsidR="004F2BB9">
        <w:t xml:space="preserve">the </w:t>
      </w:r>
      <w:r w:rsidRPr="00FF4B9A">
        <w:t xml:space="preserve">maximum limit are rejected and returned with rapid alerts issued by the EU; the freight and handling charges incurred to </w:t>
      </w:r>
      <w:r w:rsidRPr="00FF4B9A">
        <w:lastRenderedPageBreak/>
        <w:t>transport the consignment to the imported country are los</w:t>
      </w:r>
      <w:r w:rsidR="003C3A90">
        <w:t>t</w:t>
      </w:r>
      <w:r w:rsidRPr="00FF4B9A">
        <w:t>. Once rejected, the consignment is returned with the exporter bearing the freight and handling charges representing additional losses. In this analysis it is assumed that all the rejected consignments associated with the 14 rapid alerts on Gambian HPS from 2012 to 201</w:t>
      </w:r>
      <w:r w:rsidR="00B55590">
        <w:rPr>
          <w:color w:val="auto"/>
        </w:rPr>
        <w:t>5 (</w:t>
      </w:r>
      <w:r w:rsidR="00B55590" w:rsidRPr="002A65DA">
        <w:rPr>
          <w:color w:val="auto"/>
        </w:rPr>
        <w:t xml:space="preserve">Table </w:t>
      </w:r>
      <w:r w:rsidR="002A65DA">
        <w:rPr>
          <w:color w:val="auto"/>
        </w:rPr>
        <w:t>2</w:t>
      </w:r>
      <w:r w:rsidR="00B55590">
        <w:rPr>
          <w:color w:val="auto"/>
        </w:rPr>
        <w:t>)</w:t>
      </w:r>
      <w:r w:rsidRPr="00FF4B9A">
        <w:t xml:space="preserve"> are crushed into oil and cake. The computations of the total economic losses from 416 Mt of rejects indicate USD </w:t>
      </w:r>
      <w:r w:rsidR="008D7590">
        <w:t>251,418</w:t>
      </w:r>
      <w:r w:rsidRPr="00721FFF">
        <w:rPr>
          <w:color w:val="000000" w:themeColor="text1"/>
        </w:rPr>
        <w:t xml:space="preserve"> for the four year period. It should be noted that 12 of the 14 rapid alerts issued w</w:t>
      </w:r>
      <w:r w:rsidR="006131B4" w:rsidRPr="00721FFF">
        <w:rPr>
          <w:color w:val="000000" w:themeColor="text1"/>
        </w:rPr>
        <w:t>ere for the Gambia Groundnut Corpo</w:t>
      </w:r>
      <w:r w:rsidRPr="00721FFF">
        <w:rPr>
          <w:color w:val="000000" w:themeColor="text1"/>
        </w:rPr>
        <w:t>ration</w:t>
      </w:r>
      <w:r w:rsidR="003B1040" w:rsidRPr="00721FFF">
        <w:rPr>
          <w:color w:val="000000" w:themeColor="text1"/>
        </w:rPr>
        <w:t>.</w:t>
      </w:r>
    </w:p>
    <w:p w14:paraId="5B43C9AB" w14:textId="2352C511" w:rsidR="00775546" w:rsidRPr="00207E46" w:rsidRDefault="00775546" w:rsidP="00207E46">
      <w:pPr>
        <w:spacing w:line="360" w:lineRule="auto"/>
        <w:ind w:left="-6" w:hanging="11"/>
        <w:jc w:val="both"/>
      </w:pPr>
      <w:r w:rsidRPr="00207E46">
        <w:t>Losses from rejected and returned consignments of exported shelled groundnuts</w:t>
      </w:r>
      <w:r w:rsidR="00207E46" w:rsidRPr="00207E46">
        <w:t xml:space="preserve"> </w:t>
      </w:r>
      <w:r w:rsidRPr="00207E46">
        <w:t>were computed using the formula below</w:t>
      </w:r>
      <w:r w:rsidR="00207E46">
        <w:t>,</w:t>
      </w:r>
      <w:r w:rsidRPr="00207E46">
        <w:t xml:space="preserve"> which is an estimate of the difference in revenue </w:t>
      </w:r>
      <w:r w:rsidR="00661369">
        <w:t xml:space="preserve">that would have been </w:t>
      </w:r>
      <w:r w:rsidRPr="00207E46">
        <w:t xml:space="preserve">earned from selling edible confectionery groundnuts (HPS edible) and the </w:t>
      </w:r>
      <w:r w:rsidR="00661369">
        <w:t xml:space="preserve">actual </w:t>
      </w:r>
      <w:r w:rsidRPr="00207E46">
        <w:t>net revenue earned from selling crushed oil and cakes from returned consignments</w:t>
      </w:r>
      <w:r w:rsidR="00661369">
        <w:t xml:space="preserve"> of HPS Bird Feed</w:t>
      </w:r>
      <w:r w:rsidRPr="00207E46">
        <w:t>.</w:t>
      </w:r>
    </w:p>
    <w:p w14:paraId="61AF2DD6" w14:textId="2F057EB7" w:rsidR="00775546" w:rsidRDefault="00775546" w:rsidP="00775546">
      <w:r>
        <w:t xml:space="preserve">L </w:t>
      </w:r>
      <w:r>
        <w:rPr>
          <w:vertAlign w:val="subscript"/>
        </w:rPr>
        <w:t>r</w:t>
      </w:r>
      <w:r>
        <w:t xml:space="preserve"> =   P </w:t>
      </w:r>
      <w:r>
        <w:rPr>
          <w:vertAlign w:val="subscript"/>
        </w:rPr>
        <w:t>hps</w:t>
      </w:r>
      <w:r>
        <w:t xml:space="preserve"> + (P</w:t>
      </w:r>
      <w:r>
        <w:rPr>
          <w:vertAlign w:val="subscript"/>
        </w:rPr>
        <w:t>gno</w:t>
      </w:r>
      <w:r>
        <w:t xml:space="preserve"> *0.4+ P </w:t>
      </w:r>
      <w:r>
        <w:rPr>
          <w:vertAlign w:val="subscript"/>
        </w:rPr>
        <w:t xml:space="preserve">gnc  </w:t>
      </w:r>
      <w:r>
        <w:t xml:space="preserve">*0.6) – (F </w:t>
      </w:r>
      <w:r>
        <w:rPr>
          <w:vertAlign w:val="subscript"/>
        </w:rPr>
        <w:t>c</w:t>
      </w:r>
      <w:r>
        <w:t xml:space="preserve"> +  H </w:t>
      </w:r>
      <w:r>
        <w:rPr>
          <w:vertAlign w:val="subscript"/>
        </w:rPr>
        <w:t>c</w:t>
      </w:r>
      <w:r>
        <w:t xml:space="preserve"> + C </w:t>
      </w:r>
      <w:r>
        <w:rPr>
          <w:vertAlign w:val="subscript"/>
        </w:rPr>
        <w:t>c</w:t>
      </w:r>
      <w:r>
        <w:t xml:space="preserve">) </w:t>
      </w:r>
    </w:p>
    <w:p w14:paraId="187E5179" w14:textId="763C835C" w:rsidR="00775546" w:rsidRDefault="00775546" w:rsidP="00775546">
      <w:r>
        <w:t xml:space="preserve">Where, L </w:t>
      </w:r>
      <w:r>
        <w:rPr>
          <w:vertAlign w:val="subscript"/>
        </w:rPr>
        <w:t>r</w:t>
      </w:r>
      <w:r>
        <w:t xml:space="preserve"> represents losses from rejected and returned consignments of exported </w:t>
      </w:r>
      <w:r w:rsidR="00661369">
        <w:t>HPS Bird Feed</w:t>
      </w:r>
      <w:r>
        <w:t xml:space="preserve">, </w:t>
      </w:r>
    </w:p>
    <w:p w14:paraId="75148C0E" w14:textId="00DB061B" w:rsidR="00775546" w:rsidRDefault="00775546" w:rsidP="00775546">
      <w:r>
        <w:t xml:space="preserve">P </w:t>
      </w:r>
      <w:r>
        <w:rPr>
          <w:vertAlign w:val="subscript"/>
        </w:rPr>
        <w:t>hps</w:t>
      </w:r>
      <w:r>
        <w:t xml:space="preserve">  represents premium price shelled edible (HPS confectionery)</w:t>
      </w:r>
    </w:p>
    <w:p w14:paraId="3632F2CF" w14:textId="6D85E231" w:rsidR="00775546" w:rsidRDefault="00775546" w:rsidP="00775546">
      <w:r>
        <w:t>P</w:t>
      </w:r>
      <w:r>
        <w:rPr>
          <w:vertAlign w:val="subscript"/>
        </w:rPr>
        <w:t>gno</w:t>
      </w:r>
      <w:r>
        <w:t xml:space="preserve"> represents prevailing selling price groundnut oil</w:t>
      </w:r>
    </w:p>
    <w:p w14:paraId="373AE55D" w14:textId="44436E55" w:rsidR="00775546" w:rsidRDefault="00775546" w:rsidP="00775546">
      <w:r>
        <w:t xml:space="preserve">P </w:t>
      </w:r>
      <w:r>
        <w:rPr>
          <w:vertAlign w:val="subscript"/>
        </w:rPr>
        <w:t>gnc</w:t>
      </w:r>
      <w:r>
        <w:t xml:space="preserve"> represents prevailing selling price groundnut cake</w:t>
      </w:r>
    </w:p>
    <w:p w14:paraId="2089035C" w14:textId="69EC93E9" w:rsidR="00775546" w:rsidRDefault="00775546" w:rsidP="00775546">
      <w:r>
        <w:t xml:space="preserve">F </w:t>
      </w:r>
      <w:r>
        <w:rPr>
          <w:vertAlign w:val="subscript"/>
        </w:rPr>
        <w:t>c</w:t>
      </w:r>
      <w:r>
        <w:t xml:space="preserve"> represents the cost of return freight</w:t>
      </w:r>
    </w:p>
    <w:p w14:paraId="557EA801" w14:textId="33F3341A" w:rsidR="00775546" w:rsidRDefault="00775546" w:rsidP="00775546">
      <w:r>
        <w:t xml:space="preserve">H </w:t>
      </w:r>
      <w:r>
        <w:rPr>
          <w:vertAlign w:val="subscript"/>
        </w:rPr>
        <w:t>c</w:t>
      </w:r>
      <w:r>
        <w:t xml:space="preserve"> represents the cost of handling cost of return consignment</w:t>
      </w:r>
    </w:p>
    <w:p w14:paraId="27A81FE2" w14:textId="7661FC56" w:rsidR="00E13B88" w:rsidRPr="00721FFF" w:rsidRDefault="00775546" w:rsidP="00207E46">
      <w:pPr>
        <w:rPr>
          <w:color w:val="000000" w:themeColor="text1"/>
        </w:rPr>
      </w:pPr>
      <w:r>
        <w:t xml:space="preserve">C </w:t>
      </w:r>
      <w:r>
        <w:rPr>
          <w:vertAlign w:val="subscript"/>
        </w:rPr>
        <w:t>c</w:t>
      </w:r>
      <w:r>
        <w:t xml:space="preserve"> represents the cost of crushing returned consignment</w:t>
      </w:r>
    </w:p>
    <w:p w14:paraId="77EAB104" w14:textId="42291C0A" w:rsidR="002E7007" w:rsidRDefault="00AB7996" w:rsidP="003E003B">
      <w:pPr>
        <w:pStyle w:val="Heading2"/>
        <w:spacing w:line="480" w:lineRule="auto"/>
        <w:jc w:val="both"/>
      </w:pPr>
      <w:bookmarkStart w:id="32" w:name="_Toc427672769"/>
      <w:r>
        <w:t>8.</w:t>
      </w:r>
      <w:r w:rsidR="00AE7FD8">
        <w:t>4</w:t>
      </w:r>
      <w:r>
        <w:t xml:space="preserve"> </w:t>
      </w:r>
      <w:r w:rsidR="002E7007">
        <w:t xml:space="preserve">Economic impact on </w:t>
      </w:r>
      <w:r w:rsidR="00135277">
        <w:t xml:space="preserve">human </w:t>
      </w:r>
      <w:r w:rsidR="002E7007">
        <w:t>health</w:t>
      </w:r>
      <w:bookmarkEnd w:id="32"/>
      <w:r w:rsidR="002E7007">
        <w:t xml:space="preserve"> </w:t>
      </w:r>
    </w:p>
    <w:p w14:paraId="209FC77D" w14:textId="2A9AAD92" w:rsidR="008505E8" w:rsidRDefault="008505E8" w:rsidP="002E7007">
      <w:pPr>
        <w:spacing w:line="360" w:lineRule="auto"/>
        <w:ind w:left="-6" w:hanging="11"/>
        <w:jc w:val="both"/>
      </w:pPr>
      <w:r w:rsidRPr="008B7984">
        <w:t xml:space="preserve">Hepatocellular carcinoma (HCC) is the most common </w:t>
      </w:r>
      <w:r w:rsidR="000B44AF">
        <w:t>type</w:t>
      </w:r>
      <w:r w:rsidRPr="008B7984">
        <w:t xml:space="preserve"> of cancer in men in West Africa and the third most common </w:t>
      </w:r>
      <w:r w:rsidR="000B44AF">
        <w:t>type</w:t>
      </w:r>
      <w:r w:rsidRPr="008B7984">
        <w:t xml:space="preserve"> in The World (Parkin e</w:t>
      </w:r>
      <w:r w:rsidR="009842AF">
        <w:t>t</w:t>
      </w:r>
      <w:r w:rsidRPr="008B7984">
        <w:t xml:space="preserve"> al, 2001). Data from the Gambia Hepatitis Study (2009- 2013) show</w:t>
      </w:r>
      <w:r w:rsidR="00DF51D3">
        <w:t>s</w:t>
      </w:r>
      <w:r w:rsidRPr="008B7984">
        <w:t xml:space="preserve"> that HCC is top among the five most common cancers</w:t>
      </w:r>
      <w:r w:rsidRPr="008B7984">
        <w:rPr>
          <w:rStyle w:val="FootnoteReference"/>
        </w:rPr>
        <w:footnoteReference w:id="2"/>
      </w:r>
      <w:r w:rsidRPr="008B7984">
        <w:t xml:space="preserve"> of men and the second top </w:t>
      </w:r>
      <w:r w:rsidR="00E27D74">
        <w:t xml:space="preserve">among the </w:t>
      </w:r>
      <w:r w:rsidRPr="008B7984">
        <w:t xml:space="preserve">five </w:t>
      </w:r>
      <w:r w:rsidR="00E27D74">
        <w:t xml:space="preserve">most </w:t>
      </w:r>
      <w:r w:rsidRPr="008B7984">
        <w:t>common cancer</w:t>
      </w:r>
      <w:r w:rsidRPr="008B7984">
        <w:rPr>
          <w:rStyle w:val="FootnoteReference"/>
        </w:rPr>
        <w:footnoteReference w:id="3"/>
      </w:r>
      <w:r w:rsidRPr="008B7984">
        <w:t xml:space="preserve"> among women (Annual Report, 2012). Major risk factors for HCC are Hepatitis Viruses (B and C) and exposure to </w:t>
      </w:r>
      <w:r w:rsidR="00056AD1">
        <w:t>a</w:t>
      </w:r>
      <w:r w:rsidRPr="008B7984">
        <w:t xml:space="preserve">flatoxins. Aflatoxin exposure has a multiplicative effect in conjunction with HBV infection in the risk of developing HCC.   </w:t>
      </w:r>
    </w:p>
    <w:p w14:paraId="67F77185" w14:textId="0134DF9D" w:rsidR="00856AA2" w:rsidRPr="00476594" w:rsidRDefault="00856AA2" w:rsidP="00721FFF">
      <w:pPr>
        <w:pStyle w:val="Heading3"/>
      </w:pPr>
      <w:bookmarkStart w:id="33" w:name="_Toc427672770"/>
      <w:r>
        <w:t xml:space="preserve">8.4.1 </w:t>
      </w:r>
      <w:r w:rsidRPr="00476594">
        <w:t>Estimation of aflatoxin exposure using bio-marker based exposure data</w:t>
      </w:r>
      <w:bookmarkEnd w:id="33"/>
    </w:p>
    <w:p w14:paraId="64923CC9" w14:textId="77777777" w:rsidR="00721FFF" w:rsidRDefault="00721FFF" w:rsidP="00856AA2">
      <w:pPr>
        <w:spacing w:line="360" w:lineRule="auto"/>
        <w:jc w:val="both"/>
      </w:pPr>
    </w:p>
    <w:p w14:paraId="1ACAF18E" w14:textId="77777777" w:rsidR="00856AA2" w:rsidRDefault="00856AA2" w:rsidP="00856AA2">
      <w:pPr>
        <w:spacing w:line="360" w:lineRule="auto"/>
        <w:jc w:val="both"/>
        <w:rPr>
          <w:lang w:eastAsia="ja-JP"/>
        </w:rPr>
      </w:pPr>
      <w:r w:rsidRPr="00476594">
        <w:lastRenderedPageBreak/>
        <w:t xml:space="preserve">Aflatoxin exposure was estimated using bio-marker exposure data set from Turner, et al. (2000). The data set consisted of aflatoxin albumin adduct measures from 444 children aged 3–4 (229 male, 215 female), recruited as part of the Gambia Hepatitis Intervention Study (GHIS), who had not received a hepatitis B vaccine. Blood samples were collected and analysed for plasma aflatoxin-albumin adducts (AF-alb) using ELISA ((detection limit was 2 pg AFB1-lysine equivalents (eq.) per mg albumin (pg/mg)). The aflatoxin adduct measures were converted </w:t>
      </w:r>
      <w:r>
        <w:t>to</w:t>
      </w:r>
      <w:r w:rsidRPr="00476594">
        <w:t xml:space="preserve"> aflatoxin exposure in ng/kgBW following the formula developed by Wild, et al. (1996). </w:t>
      </w:r>
      <w:r w:rsidRPr="00476594">
        <w:rPr>
          <w:lang w:eastAsia="ja-JP"/>
        </w:rPr>
        <w:t xml:space="preserve">In that formula, the relationship between aflatoxin-albumin adduct levels and exposure was estimated such that the value was 1.56 </w:t>
      </w:r>
      <w:r w:rsidRPr="00476594">
        <w:rPr>
          <w:position w:val="-12"/>
          <w:lang w:eastAsia="ja-JP"/>
        </w:rPr>
        <w:object w:dxaOrig="5800" w:dyaOrig="360" w14:anchorId="5E582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18pt" o:ole="">
            <v:imagedata r:id="rId15" o:title=""/>
          </v:shape>
          <o:OLEObject Type="Embed" ProgID="Equation.DSMT4" ShapeID="_x0000_i1025" DrawAspect="Content" ObjectID="_1504080943" r:id="rId16"/>
        </w:object>
      </w:r>
      <w:r w:rsidRPr="00476594">
        <w:rPr>
          <w:lang w:eastAsia="ja-JP"/>
        </w:rPr>
        <w:t xml:space="preserve"> following acute exposure. We </w:t>
      </w:r>
      <w:r>
        <w:rPr>
          <w:lang w:eastAsia="ja-JP"/>
        </w:rPr>
        <w:t>t</w:t>
      </w:r>
      <w:r w:rsidRPr="00476594">
        <w:rPr>
          <w:lang w:eastAsia="ja-JP"/>
        </w:rPr>
        <w:t xml:space="preserve">herefore multiplied each aflatoxin-albumin adduct value by </w:t>
      </w:r>
      <w:r w:rsidRPr="00476594">
        <w:rPr>
          <w:position w:val="-6"/>
          <w:lang w:eastAsia="ja-JP"/>
        </w:rPr>
        <w:object w:dxaOrig="440" w:dyaOrig="320" w14:anchorId="76A7D2B2">
          <v:shape id="_x0000_i1026" type="#_x0000_t75" style="width:21.75pt;height:16.5pt" o:ole="">
            <v:imagedata r:id="rId17" o:title=""/>
          </v:shape>
          <o:OLEObject Type="Embed" ProgID="Equation.DSMT4" ShapeID="_x0000_i1026" DrawAspect="Content" ObjectID="_1504080944" r:id="rId18"/>
        </w:object>
      </w:r>
      <w:r w:rsidRPr="00476594">
        <w:rPr>
          <w:lang w:eastAsia="ja-JP"/>
        </w:rPr>
        <w:t xml:space="preserve"> and then divided it by 1.56 to obtain exposures in </w:t>
      </w:r>
      <w:r w:rsidRPr="0040475A">
        <w:rPr>
          <w:position w:val="-10"/>
          <w:lang w:eastAsia="ja-JP"/>
        </w:rPr>
        <w:object w:dxaOrig="2180" w:dyaOrig="320" w14:anchorId="1F4AEEA0">
          <v:shape id="_x0000_i1027" type="#_x0000_t75" style="width:108.75pt;height:16.5pt" o:ole="">
            <v:imagedata r:id="rId19" o:title=""/>
          </v:shape>
          <o:OLEObject Type="Embed" ProgID="Equation.DSMT4" ShapeID="_x0000_i1027" DrawAspect="Content" ObjectID="_1504080945" r:id="rId20"/>
        </w:object>
      </w:r>
      <w:r w:rsidRPr="00476594">
        <w:rPr>
          <w:lang w:eastAsia="ja-JP"/>
        </w:rPr>
        <w:t>.</w:t>
      </w:r>
      <w:r>
        <w:rPr>
          <w:lang w:eastAsia="ja-JP"/>
        </w:rPr>
        <w:t xml:space="preserve"> The aflatoxin exposure was calculated for children aged 0 to 14, adult males and females aged 15 to 65+. For children, aflatoxin exposure was calculated for the age group brackets 0 – 4, 5 – 9 and 10 – 14 and geometric mean for these age groups was used; and for adults 15-64 age group bracket was used. The population data and body weights (for children) were derived from the 2013</w:t>
      </w:r>
      <w:r w:rsidRPr="00296FDC">
        <w:t xml:space="preserve"> </w:t>
      </w:r>
      <w:r w:rsidRPr="003E7A1F">
        <w:t>National Population and Housing Census</w:t>
      </w:r>
      <w:r>
        <w:rPr>
          <w:lang w:eastAsia="ja-JP"/>
        </w:rPr>
        <w:t xml:space="preserve"> and </w:t>
      </w:r>
      <w:hyperlink r:id="rId21" w:history="1">
        <w:r w:rsidRPr="00115E7D">
          <w:rPr>
            <w:rStyle w:val="Hyperlink"/>
            <w:lang w:eastAsia="ja-JP"/>
          </w:rPr>
          <w:t>www.cdc.gov/growthcharts</w:t>
        </w:r>
      </w:hyperlink>
      <w:r>
        <w:rPr>
          <w:lang w:eastAsia="ja-JP"/>
        </w:rPr>
        <w:t xml:space="preserve">, respectively. For adults (15 – 64), we assume an average weight of 60kg. </w:t>
      </w:r>
    </w:p>
    <w:p w14:paraId="76A1A030" w14:textId="77777777" w:rsidR="00856AA2" w:rsidRDefault="00856AA2" w:rsidP="00856AA2">
      <w:pPr>
        <w:spacing w:line="360" w:lineRule="auto"/>
        <w:jc w:val="both"/>
        <w:rPr>
          <w:lang w:eastAsia="ja-JP"/>
        </w:rPr>
      </w:pPr>
      <w:r>
        <w:rPr>
          <w:lang w:eastAsia="ja-JP"/>
        </w:rPr>
        <w:t>8.4.2 Estimation of population at risk for aflatoxin induced liver cancer</w:t>
      </w:r>
    </w:p>
    <w:p w14:paraId="318B35D8" w14:textId="18B007C8" w:rsidR="00856AA2" w:rsidRDefault="00856AA2" w:rsidP="00856AA2">
      <w:pPr>
        <w:spacing w:line="360" w:lineRule="auto"/>
        <w:jc w:val="both"/>
        <w:rPr>
          <w:color w:val="FF0000"/>
          <w:lang w:eastAsia="ja-JP"/>
        </w:rPr>
      </w:pPr>
      <w:r>
        <w:rPr>
          <w:lang w:eastAsia="ja-JP"/>
        </w:rPr>
        <w:t xml:space="preserve">The population risks for aflatoxin induced liver cancer was estimated using the data on aflatoxin exposure in The Gambia as presented above. </w:t>
      </w:r>
      <w:r>
        <w:t>Hepatitis B</w:t>
      </w:r>
      <w:r w:rsidRPr="00C17732">
        <w:t xml:space="preserve"> prevalence rate in </w:t>
      </w:r>
      <w:r>
        <w:t xml:space="preserve">The </w:t>
      </w:r>
      <w:r w:rsidRPr="00C17732">
        <w:t xml:space="preserve">Gambia </w:t>
      </w:r>
      <w:r>
        <w:t>is</w:t>
      </w:r>
      <w:r w:rsidRPr="00C17732">
        <w:t xml:space="preserve"> about 15%</w:t>
      </w:r>
      <w:r w:rsidR="00723669">
        <w:t>.</w:t>
      </w:r>
      <w:r>
        <w:rPr>
          <w:color w:val="FF0000"/>
          <w:lang w:eastAsia="ja-JP"/>
        </w:rPr>
        <w:t xml:space="preserve"> </w:t>
      </w:r>
      <w:r w:rsidRPr="0040475A">
        <w:rPr>
          <w:lang w:eastAsia="ja-JP"/>
        </w:rPr>
        <w:t>The JECFA model of 1997</w:t>
      </w:r>
      <w:r>
        <w:rPr>
          <w:lang w:eastAsia="ja-JP"/>
        </w:rPr>
        <w:t xml:space="preserve"> was used</w:t>
      </w:r>
      <w:r w:rsidRPr="0040475A">
        <w:rPr>
          <w:lang w:eastAsia="ja-JP"/>
        </w:rPr>
        <w:t xml:space="preserve"> for estimating cancer potency.</w:t>
      </w:r>
      <w:r w:rsidRPr="003D7AEF">
        <w:rPr>
          <w:color w:val="FF0000"/>
          <w:lang w:eastAsia="ja-JP"/>
        </w:rPr>
        <w:t xml:space="preserve">  </w:t>
      </w:r>
    </w:p>
    <w:p w14:paraId="64CE4534" w14:textId="77777777" w:rsidR="00856AA2" w:rsidRDefault="00856AA2" w:rsidP="00856AA2">
      <w:pPr>
        <w:spacing w:line="360" w:lineRule="auto"/>
        <w:jc w:val="both"/>
        <w:rPr>
          <w:lang w:eastAsia="ja-JP"/>
        </w:rPr>
      </w:pPr>
      <w:r w:rsidRPr="003E7A1F">
        <w:rPr>
          <w:lang w:eastAsia="ja-JP"/>
        </w:rPr>
        <w:t>The total aflatoxin induced HCC was estimated as follows:</w:t>
      </w:r>
      <w:r>
        <w:rPr>
          <w:lang w:eastAsia="ja-JP"/>
        </w:rPr>
        <w:t xml:space="preserve">  </w:t>
      </w:r>
    </w:p>
    <w:p w14:paraId="5841B893" w14:textId="77777777" w:rsidR="00856AA2" w:rsidRDefault="00856AA2" w:rsidP="00856AA2">
      <w:pPr>
        <w:pStyle w:val="ListParagraph"/>
        <w:numPr>
          <w:ilvl w:val="0"/>
          <w:numId w:val="41"/>
        </w:numPr>
        <w:spacing w:after="160" w:line="360" w:lineRule="auto"/>
        <w:jc w:val="both"/>
      </w:pPr>
      <w:r w:rsidRPr="00AB7E2C">
        <w:rPr>
          <w:lang w:eastAsia="ja-JP"/>
        </w:rPr>
        <w:t>HBV+ was estimated by multiplying the prevalence (%) of HBV multiplied by the Gambian population model</w:t>
      </w:r>
    </w:p>
    <w:p w14:paraId="6C52D3B0" w14:textId="77777777" w:rsidR="00856AA2" w:rsidRDefault="00856AA2" w:rsidP="00856AA2">
      <w:pPr>
        <w:pStyle w:val="ListParagraph"/>
        <w:numPr>
          <w:ilvl w:val="0"/>
          <w:numId w:val="41"/>
        </w:numPr>
        <w:spacing w:after="160" w:line="360" w:lineRule="auto"/>
        <w:jc w:val="both"/>
      </w:pPr>
      <w:r>
        <w:rPr>
          <w:lang w:eastAsia="ja-JP"/>
        </w:rPr>
        <w:t>Aflatoxin induced cases per 100,000 was estimated by multiplying the cancer potency by the exposure estimates.</w:t>
      </w:r>
    </w:p>
    <w:p w14:paraId="4090038B" w14:textId="77777777" w:rsidR="00856AA2" w:rsidRPr="00AB7E2C" w:rsidRDefault="00856AA2" w:rsidP="00856AA2">
      <w:pPr>
        <w:pStyle w:val="ListParagraph"/>
        <w:tabs>
          <w:tab w:val="left" w:pos="1170"/>
        </w:tabs>
        <w:spacing w:line="360" w:lineRule="auto"/>
        <w:jc w:val="both"/>
        <w:rPr>
          <w:lang w:eastAsia="ja-JP"/>
        </w:rPr>
      </w:pPr>
      <w:r w:rsidRPr="00AB7E2C">
        <w:rPr>
          <w:position w:val="-28"/>
          <w:lang w:eastAsia="ja-JP"/>
        </w:rPr>
        <w:object w:dxaOrig="6399" w:dyaOrig="660" w14:anchorId="18B142A0">
          <v:shape id="_x0000_i1028" type="#_x0000_t75" style="width:320.25pt;height:32.25pt" o:ole="">
            <v:imagedata r:id="rId22" o:title=""/>
          </v:shape>
          <o:OLEObject Type="Embed" ProgID="Equation.DSMT4" ShapeID="_x0000_i1028" DrawAspect="Content" ObjectID="_1504080946" r:id="rId23"/>
        </w:object>
      </w:r>
      <w:r w:rsidRPr="00AB7E2C">
        <w:rPr>
          <w:position w:val="-10"/>
          <w:lang w:eastAsia="ja-JP"/>
        </w:rPr>
        <w:tab/>
      </w:r>
      <w:r w:rsidRPr="00AB7E2C">
        <w:rPr>
          <w:position w:val="-10"/>
          <w:lang w:eastAsia="ja-JP"/>
        </w:rPr>
        <w:tab/>
      </w:r>
      <w:r>
        <w:rPr>
          <w:position w:val="-10"/>
          <w:lang w:eastAsia="ja-JP"/>
        </w:rPr>
        <w:tab/>
      </w:r>
    </w:p>
    <w:p w14:paraId="6FE4C808" w14:textId="77777777" w:rsidR="00856AA2" w:rsidRPr="00AB7E2C" w:rsidRDefault="00856AA2" w:rsidP="00856AA2">
      <w:pPr>
        <w:pStyle w:val="ListParagraph"/>
        <w:tabs>
          <w:tab w:val="left" w:pos="1170"/>
        </w:tabs>
        <w:spacing w:line="360" w:lineRule="auto"/>
        <w:jc w:val="both"/>
        <w:rPr>
          <w:lang w:eastAsia="ja-JP"/>
        </w:rPr>
      </w:pPr>
      <w:r w:rsidRPr="00AB7E2C">
        <w:rPr>
          <w:lang w:eastAsia="ja-JP"/>
        </w:rPr>
        <w:t>Where,</w:t>
      </w:r>
    </w:p>
    <w:p w14:paraId="2DA6BD3D" w14:textId="36DAC142" w:rsidR="00856AA2" w:rsidRDefault="00856AA2" w:rsidP="00856AA2">
      <w:pPr>
        <w:spacing w:line="360" w:lineRule="auto"/>
        <w:ind w:left="-6" w:hanging="11"/>
        <w:jc w:val="both"/>
      </w:pPr>
      <w:r w:rsidRPr="00AB7E2C">
        <w:rPr>
          <w:position w:val="-16"/>
          <w:lang w:eastAsia="ja-JP"/>
        </w:rPr>
        <w:object w:dxaOrig="9499" w:dyaOrig="440" w14:anchorId="6355A713">
          <v:shape id="_x0000_i1029" type="#_x0000_t75" style="width:474.75pt;height:21.75pt" o:ole="">
            <v:imagedata r:id="rId24" o:title=""/>
          </v:shape>
          <o:OLEObject Type="Embed" ProgID="Equation.DSMT4" ShapeID="_x0000_i1029" DrawAspect="Content" ObjectID="_1504080947" r:id="rId25"/>
        </w:object>
      </w:r>
    </w:p>
    <w:p w14:paraId="66ED9289" w14:textId="540F0D61" w:rsidR="00896B5E" w:rsidRDefault="002E7007" w:rsidP="002E7007">
      <w:pPr>
        <w:spacing w:line="360" w:lineRule="auto"/>
        <w:ind w:left="-6" w:hanging="11"/>
        <w:jc w:val="both"/>
      </w:pPr>
      <w:r>
        <w:lastRenderedPageBreak/>
        <w:t>T</w:t>
      </w:r>
      <w:r w:rsidR="00C130DE">
        <w:t>his aflatoxin situational an</w:t>
      </w:r>
      <w:r w:rsidR="00240C8D">
        <w:t>a</w:t>
      </w:r>
      <w:r w:rsidR="00C130DE">
        <w:t>lysis</w:t>
      </w:r>
      <w:r>
        <w:t xml:space="preserve"> used biomarker-based exposure in the </w:t>
      </w:r>
      <w:r w:rsidR="00E90462">
        <w:t xml:space="preserve">health </w:t>
      </w:r>
      <w:r>
        <w:t xml:space="preserve">risk assessment and economic impact estimation. The biomarker-based exposure assessment </w:t>
      </w:r>
      <w:r w:rsidR="007027D7">
        <w:t xml:space="preserve">provides for a </w:t>
      </w:r>
      <w:r>
        <w:t>more robust interpretation of individual exposure by accounting for all possible food sources of aflatoxin.</w:t>
      </w:r>
      <w:r w:rsidR="006F3A9A">
        <w:t xml:space="preserve"> Turner et al</w:t>
      </w:r>
      <w:r w:rsidR="003C6304">
        <w:t>.</w:t>
      </w:r>
      <w:r w:rsidR="006F3A9A">
        <w:t xml:space="preserve"> (2000) examined the relationship between Hepatitis B Virus (HBV) and biomarker of aflatoxin exposure for children in The Gambia. The data showed </w:t>
      </w:r>
      <w:r w:rsidR="00B21D0A">
        <w:t>high prevalence and level of a</w:t>
      </w:r>
      <w:r w:rsidR="006F3A9A">
        <w:t>dduct (2.2–459 pg/mg)</w:t>
      </w:r>
      <w:r w:rsidR="00B21D0A">
        <w:t xml:space="preserve"> in all 400 samples</w:t>
      </w:r>
      <w:r w:rsidR="004A1BFD">
        <w:t>;</w:t>
      </w:r>
      <w:r w:rsidR="006F3A9A">
        <w:t xml:space="preserve"> high levels of adduct (&gt; 75 pg/mg) were measured in more than 30% of the samples. </w:t>
      </w:r>
      <w:r w:rsidR="00FA53E2">
        <w:t>It also showed that the levels of adducts were approximately twice as high in the dry season as in the wet season attributing this to higher consumption of groundnuts. Groundnuts are harvested in October and stored and consumed in the remaining months. As stated earlier, g</w:t>
      </w:r>
      <w:r w:rsidR="00862B29">
        <w:t>roundnut</w:t>
      </w:r>
      <w:r w:rsidR="00FA53E2">
        <w:t>, a major source of aflatoxin exposure,</w:t>
      </w:r>
      <w:r w:rsidR="00862B29">
        <w:t xml:space="preserve"> is</w:t>
      </w:r>
      <w:r w:rsidR="00FA53E2">
        <w:t xml:space="preserve"> consumed at least twice a day in rural households.</w:t>
      </w:r>
      <w:r w:rsidR="006F3A9A">
        <w:t xml:space="preserve"> </w:t>
      </w:r>
      <w:r w:rsidR="003C6304">
        <w:t xml:space="preserve">According to the study, </w:t>
      </w:r>
      <w:r w:rsidR="00896B5E">
        <w:t>mean adduct levels in uninfected children, chronic carriers and acutely infected children were 31.6 (n=404), 44.9 (n=34) and</w:t>
      </w:r>
      <w:r w:rsidR="00033B35">
        <w:t xml:space="preserve"> 96.</w:t>
      </w:r>
      <w:r w:rsidR="00896B5E">
        <w:t xml:space="preserve">9 (n=6) pg.mg, respectively. </w:t>
      </w:r>
    </w:p>
    <w:p w14:paraId="155F4EE9" w14:textId="5469B993" w:rsidR="008505E8" w:rsidRPr="002A5385" w:rsidRDefault="008505E8" w:rsidP="008505E8">
      <w:pPr>
        <w:tabs>
          <w:tab w:val="left" w:pos="630"/>
        </w:tabs>
        <w:spacing w:after="160" w:line="360" w:lineRule="auto"/>
        <w:ind w:left="0" w:firstLine="0"/>
        <w:jc w:val="both"/>
        <w:rPr>
          <w:rFonts w:eastAsiaTheme="minorHAnsi"/>
          <w:color w:val="auto"/>
          <w:lang w:val="en-US" w:eastAsia="en-US"/>
        </w:rPr>
      </w:pPr>
      <w:r w:rsidRPr="002A5385">
        <w:rPr>
          <w:rFonts w:eastAsiaTheme="minorHAnsi"/>
          <w:color w:val="auto"/>
          <w:lang w:val="en-US" w:eastAsia="en-US"/>
        </w:rPr>
        <w:t xml:space="preserve">The study on dietary intake of aflatoxins and levels of albumin-bound aflatoxin in the peripheral blood of 20 residents of Kenaba Kiang West in The Gambia by Wild </w:t>
      </w:r>
      <w:r w:rsidR="00287ED3">
        <w:rPr>
          <w:rFonts w:eastAsiaTheme="minorHAnsi"/>
          <w:color w:val="auto"/>
          <w:lang w:val="en-US" w:eastAsia="en-US"/>
        </w:rPr>
        <w:t>e</w:t>
      </w:r>
      <w:r w:rsidRPr="002A5385">
        <w:rPr>
          <w:rFonts w:eastAsiaTheme="minorHAnsi"/>
          <w:color w:val="auto"/>
          <w:lang w:val="en-US" w:eastAsia="en-US"/>
        </w:rPr>
        <w:t>t al</w:t>
      </w:r>
      <w:r w:rsidR="00287ED3">
        <w:rPr>
          <w:rFonts w:eastAsiaTheme="minorHAnsi"/>
          <w:color w:val="auto"/>
          <w:lang w:val="en-US" w:eastAsia="en-US"/>
        </w:rPr>
        <w:t>.</w:t>
      </w:r>
      <w:r w:rsidRPr="002A5385">
        <w:rPr>
          <w:rFonts w:eastAsiaTheme="minorHAnsi"/>
          <w:color w:val="auto"/>
          <w:lang w:val="en-US" w:eastAsia="en-US"/>
        </w:rPr>
        <w:t xml:space="preserve"> (1992) reported that all subjects were exposed to aflatoxins from several food types, with an average daily intake of 1.4 ug/day. A significant correlation was observed between dietary intake and level of albumin-bound aflatoxin.</w:t>
      </w:r>
    </w:p>
    <w:p w14:paraId="0462F1CD" w14:textId="00DE8D44" w:rsidR="008505E8" w:rsidRPr="002A5385" w:rsidRDefault="008505E8" w:rsidP="008505E8">
      <w:pPr>
        <w:tabs>
          <w:tab w:val="left" w:pos="630"/>
        </w:tabs>
        <w:spacing w:after="160" w:line="360" w:lineRule="auto"/>
        <w:ind w:left="0" w:firstLine="0"/>
        <w:jc w:val="both"/>
        <w:rPr>
          <w:rFonts w:eastAsiaTheme="minorHAnsi"/>
          <w:color w:val="auto"/>
          <w:lang w:val="en-US" w:eastAsia="en-US"/>
        </w:rPr>
      </w:pPr>
      <w:r w:rsidRPr="002A5385">
        <w:rPr>
          <w:rFonts w:eastAsiaTheme="minorHAnsi"/>
          <w:color w:val="auto"/>
          <w:lang w:val="en-US" w:eastAsia="en-US"/>
        </w:rPr>
        <w:t xml:space="preserve">In another study on aflatoxin, liver enzymes and Hepatitis B virus infection in Gambian children, Wild </w:t>
      </w:r>
      <w:r w:rsidR="00071EB5">
        <w:rPr>
          <w:rFonts w:eastAsiaTheme="minorHAnsi"/>
          <w:color w:val="auto"/>
          <w:lang w:val="en-US" w:eastAsia="en-US"/>
        </w:rPr>
        <w:t>e</w:t>
      </w:r>
      <w:r w:rsidR="00071EB5" w:rsidRPr="002A5385">
        <w:rPr>
          <w:rFonts w:eastAsiaTheme="minorHAnsi"/>
          <w:color w:val="auto"/>
          <w:lang w:val="en-US" w:eastAsia="en-US"/>
        </w:rPr>
        <w:t xml:space="preserve">t </w:t>
      </w:r>
      <w:r w:rsidRPr="002A5385">
        <w:rPr>
          <w:rFonts w:eastAsiaTheme="minorHAnsi"/>
          <w:color w:val="auto"/>
          <w:lang w:val="en-US" w:eastAsia="en-US"/>
        </w:rPr>
        <w:t>al</w:t>
      </w:r>
      <w:r w:rsidR="00071EB5">
        <w:rPr>
          <w:rFonts w:eastAsiaTheme="minorHAnsi"/>
          <w:color w:val="auto"/>
          <w:lang w:val="en-US" w:eastAsia="en-US"/>
        </w:rPr>
        <w:t>.</w:t>
      </w:r>
      <w:r w:rsidRPr="002A5385">
        <w:rPr>
          <w:rFonts w:eastAsiaTheme="minorHAnsi"/>
          <w:color w:val="auto"/>
          <w:lang w:val="en-US" w:eastAsia="en-US"/>
        </w:rPr>
        <w:t xml:space="preserve"> (1993) collected blood samples from 117 children aged 3 to 4 years from Kuntair or Kerr Cherno in North Bank Region. The study using biomarkers indicated that all but two children showed detectable serum AF-ab with levels ranging from 2.2 and 250.4 pg aflatoxin B</w:t>
      </w:r>
      <w:r w:rsidRPr="002A5385">
        <w:rPr>
          <w:rFonts w:eastAsiaTheme="minorHAnsi"/>
          <w:color w:val="auto"/>
          <w:vertAlign w:val="subscript"/>
          <w:lang w:val="en-US" w:eastAsia="en-US"/>
        </w:rPr>
        <w:t>1</w:t>
      </w:r>
      <w:r w:rsidRPr="002A5385">
        <w:rPr>
          <w:rFonts w:eastAsiaTheme="minorHAnsi"/>
          <w:color w:val="auto"/>
          <w:lang w:val="en-US" w:eastAsia="en-US"/>
        </w:rPr>
        <w:t xml:space="preserve">-lysine equivalent/mg albumin. It also indicated that HBV carriers showed moderately higher levels of Af-ab and ALT was unchanged when the HBV carriers were excluded from the analysis, suggesting that factors other than HBV infection contributed to the association. </w:t>
      </w:r>
    </w:p>
    <w:p w14:paraId="62E2FEF1" w14:textId="624B6988" w:rsidR="008505E8" w:rsidRPr="002A5385" w:rsidRDefault="008505E8" w:rsidP="008505E8">
      <w:pPr>
        <w:tabs>
          <w:tab w:val="left" w:pos="630"/>
        </w:tabs>
        <w:spacing w:after="160" w:line="360" w:lineRule="auto"/>
        <w:ind w:left="0" w:firstLine="0"/>
        <w:jc w:val="both"/>
        <w:rPr>
          <w:rFonts w:eastAsiaTheme="minorHAnsi"/>
          <w:color w:val="auto"/>
          <w:lang w:val="en-US" w:eastAsia="en-US"/>
        </w:rPr>
      </w:pPr>
      <w:r w:rsidRPr="002A5385">
        <w:rPr>
          <w:rFonts w:eastAsiaTheme="minorHAnsi"/>
          <w:color w:val="auto"/>
          <w:lang w:val="en-US" w:eastAsia="en-US"/>
        </w:rPr>
        <w:t xml:space="preserve">Similarly Wild </w:t>
      </w:r>
      <w:r w:rsidR="00071EB5">
        <w:rPr>
          <w:rFonts w:eastAsiaTheme="minorHAnsi"/>
          <w:color w:val="auto"/>
          <w:lang w:val="en-US" w:eastAsia="en-US"/>
        </w:rPr>
        <w:t>e</w:t>
      </w:r>
      <w:r w:rsidRPr="002A5385">
        <w:rPr>
          <w:rFonts w:eastAsiaTheme="minorHAnsi"/>
          <w:color w:val="auto"/>
          <w:lang w:val="en-US" w:eastAsia="en-US"/>
        </w:rPr>
        <w:t>t al</w:t>
      </w:r>
      <w:r w:rsidR="00071EB5">
        <w:rPr>
          <w:rFonts w:eastAsiaTheme="minorHAnsi"/>
          <w:color w:val="auto"/>
          <w:lang w:val="en-US" w:eastAsia="en-US"/>
        </w:rPr>
        <w:t>.</w:t>
      </w:r>
      <w:r w:rsidRPr="002A5385">
        <w:rPr>
          <w:rFonts w:eastAsiaTheme="minorHAnsi"/>
          <w:color w:val="auto"/>
          <w:lang w:val="en-US" w:eastAsia="en-US"/>
        </w:rPr>
        <w:t xml:space="preserve"> (2000) examined the effect of environmental (residence and timing of sample collection)</w:t>
      </w:r>
      <w:r w:rsidR="00F05BE2">
        <w:rPr>
          <w:rFonts w:eastAsiaTheme="minorHAnsi"/>
          <w:color w:val="auto"/>
          <w:lang w:val="en-US" w:eastAsia="en-US"/>
        </w:rPr>
        <w:t xml:space="preserve"> </w:t>
      </w:r>
      <w:r w:rsidRPr="002A5385">
        <w:rPr>
          <w:rFonts w:eastAsiaTheme="minorHAnsi"/>
          <w:color w:val="auto"/>
          <w:lang w:val="en-US" w:eastAsia="en-US"/>
        </w:rPr>
        <w:t xml:space="preserve">and host factors </w:t>
      </w:r>
      <w:r w:rsidR="00DF51D3">
        <w:rPr>
          <w:rFonts w:eastAsiaTheme="minorHAnsi"/>
          <w:color w:val="auto"/>
          <w:lang w:val="en-US" w:eastAsia="en-US"/>
        </w:rPr>
        <w:t>(</w:t>
      </w:r>
      <w:r w:rsidRPr="002A5385">
        <w:rPr>
          <w:rFonts w:eastAsiaTheme="minorHAnsi"/>
          <w:color w:val="auto"/>
          <w:lang w:val="en-US" w:eastAsia="en-US"/>
        </w:rPr>
        <w:t>age, sex, HBV status and inter</w:t>
      </w:r>
      <w:r w:rsidR="00DF51D3">
        <w:rPr>
          <w:rFonts w:eastAsiaTheme="minorHAnsi"/>
          <w:color w:val="auto"/>
          <w:lang w:val="en-US" w:eastAsia="en-US"/>
        </w:rPr>
        <w:t>-</w:t>
      </w:r>
      <w:r w:rsidRPr="002A5385">
        <w:rPr>
          <w:rFonts w:eastAsiaTheme="minorHAnsi"/>
          <w:color w:val="auto"/>
          <w:lang w:val="en-US" w:eastAsia="en-US"/>
        </w:rPr>
        <w:t>individual variations in carcinogen metabolizing enzymes) in determining blood aflatoxin–albumin adduct levels in 357 individuals of whom 181 were chronic HBV carriers. The results of the study showed that adduct levels were significantly higher in subjects resident in rural [geometric mean adduct level of 34.9 pg aflatoxin B</w:t>
      </w:r>
      <w:r w:rsidRPr="002A5385">
        <w:rPr>
          <w:rFonts w:eastAsiaTheme="minorHAnsi"/>
          <w:color w:val="auto"/>
          <w:vertAlign w:val="subscript"/>
          <w:lang w:val="en-US" w:eastAsia="en-US"/>
        </w:rPr>
        <w:t>1</w:t>
      </w:r>
      <w:r w:rsidRPr="002A5385">
        <w:rPr>
          <w:rFonts w:eastAsiaTheme="minorHAnsi"/>
          <w:color w:val="auto"/>
          <w:lang w:val="en-US" w:eastAsia="en-US"/>
        </w:rPr>
        <w:t>-lysine equivalent (28.5-42.8;</w:t>
      </w:r>
      <w:r w:rsidR="00634D55">
        <w:rPr>
          <w:rFonts w:eastAsiaTheme="minorHAnsi"/>
          <w:color w:val="auto"/>
          <w:lang w:val="en-US" w:eastAsia="en-US"/>
        </w:rPr>
        <w:t xml:space="preserve"> </w:t>
      </w:r>
      <w:r w:rsidRPr="002A5385">
        <w:rPr>
          <w:rFonts w:eastAsiaTheme="minorHAnsi"/>
          <w:color w:val="auto"/>
          <w:lang w:val="en-US" w:eastAsia="en-US"/>
        </w:rPr>
        <w:t>95% Cl)/mg albumin] than in peri</w:t>
      </w:r>
      <w:r w:rsidR="00634D55">
        <w:rPr>
          <w:rFonts w:eastAsiaTheme="minorHAnsi"/>
          <w:color w:val="auto"/>
          <w:lang w:val="en-US" w:eastAsia="en-US"/>
        </w:rPr>
        <w:t>-</w:t>
      </w:r>
      <w:r w:rsidRPr="002A5385">
        <w:rPr>
          <w:rFonts w:eastAsiaTheme="minorHAnsi"/>
          <w:color w:val="auto"/>
          <w:lang w:val="en-US" w:eastAsia="en-US"/>
        </w:rPr>
        <w:t xml:space="preserve">urban areas </w:t>
      </w:r>
      <w:r w:rsidR="00EC0C16">
        <w:rPr>
          <w:rFonts w:eastAsiaTheme="minorHAnsi"/>
          <w:color w:val="auto"/>
          <w:lang w:val="en-US" w:eastAsia="en-US"/>
        </w:rPr>
        <w:t>(</w:t>
      </w:r>
      <w:r w:rsidRPr="002A5385">
        <w:rPr>
          <w:rFonts w:eastAsiaTheme="minorHAnsi"/>
          <w:color w:val="auto"/>
          <w:lang w:val="en-US" w:eastAsia="en-US"/>
        </w:rPr>
        <w:t>22.2 pg (14.9-33.4)/mg] and were approximately twice as high in the dry season [mid</w:t>
      </w:r>
      <w:r w:rsidR="00DF51D3">
        <w:rPr>
          <w:rFonts w:eastAsiaTheme="minorHAnsi"/>
          <w:color w:val="auto"/>
          <w:lang w:val="en-US" w:eastAsia="en-US"/>
        </w:rPr>
        <w:t>-</w:t>
      </w:r>
      <w:r w:rsidRPr="002A5385">
        <w:rPr>
          <w:rFonts w:eastAsiaTheme="minorHAnsi"/>
          <w:color w:val="auto"/>
          <w:lang w:val="en-US" w:eastAsia="en-US"/>
        </w:rPr>
        <w:t>February to March; 82.2 pg (53.3-130.8)/mg</w:t>
      </w:r>
      <w:r w:rsidR="00EC0C16">
        <w:rPr>
          <w:rFonts w:eastAsiaTheme="minorHAnsi"/>
          <w:color w:val="auto"/>
          <w:lang w:val="en-US" w:eastAsia="en-US"/>
        </w:rPr>
        <w:t>)</w:t>
      </w:r>
      <w:r w:rsidRPr="002A5385">
        <w:rPr>
          <w:rFonts w:eastAsiaTheme="minorHAnsi"/>
          <w:color w:val="auto"/>
          <w:lang w:val="en-US" w:eastAsia="en-US"/>
        </w:rPr>
        <w:t xml:space="preserve"> than the wet season [July</w:t>
      </w:r>
      <w:r w:rsidR="00EC0C16">
        <w:rPr>
          <w:rFonts w:eastAsiaTheme="minorHAnsi"/>
          <w:color w:val="auto"/>
          <w:lang w:val="en-US" w:eastAsia="en-US"/>
        </w:rPr>
        <w:t xml:space="preserve"> </w:t>
      </w:r>
      <w:r w:rsidRPr="002A5385">
        <w:rPr>
          <w:rFonts w:eastAsiaTheme="minorHAnsi"/>
          <w:color w:val="auto"/>
          <w:lang w:val="en-US" w:eastAsia="en-US"/>
        </w:rPr>
        <w:t>to August ; 34.9 pg (28.5-42.8)/mg].</w:t>
      </w:r>
    </w:p>
    <w:p w14:paraId="034DBB1C" w14:textId="31CE5E56" w:rsidR="009E1959" w:rsidRPr="00CA7BE0" w:rsidRDefault="00896B5E" w:rsidP="008C4C6E">
      <w:pPr>
        <w:spacing w:line="360" w:lineRule="auto"/>
        <w:ind w:left="-6" w:hanging="11"/>
        <w:jc w:val="both"/>
      </w:pPr>
      <w:r w:rsidRPr="00CA7BE0">
        <w:lastRenderedPageBreak/>
        <w:t>In view of the skewed</w:t>
      </w:r>
      <w:r w:rsidR="00033B35" w:rsidRPr="00CA7BE0">
        <w:t xml:space="preserve"> nature of the distribution with most subjects having low exposure and only few having substantial</w:t>
      </w:r>
      <w:r w:rsidR="00B17FA2" w:rsidRPr="00CA7BE0">
        <w:t xml:space="preserve"> exposure</w:t>
      </w:r>
      <w:r w:rsidR="00033B35" w:rsidRPr="00CA7BE0">
        <w:t xml:space="preserve"> we decided to use median and quartiles as measures of central tendency and spread, respective</w:t>
      </w:r>
      <w:r w:rsidR="00B17FA2" w:rsidRPr="00CA7BE0">
        <w:t>ly</w:t>
      </w:r>
      <w:r w:rsidR="00033B35" w:rsidRPr="00CA7BE0">
        <w:t xml:space="preserve">, to better determine a parametric distribution and representation of the data. </w:t>
      </w:r>
      <w:r w:rsidRPr="00CA7BE0">
        <w:t xml:space="preserve">  </w:t>
      </w:r>
    </w:p>
    <w:p w14:paraId="2677C16F" w14:textId="77777777" w:rsidR="009E1959" w:rsidRPr="00CA7BE0" w:rsidRDefault="009E1959" w:rsidP="0094607A"/>
    <w:p w14:paraId="6B6E92DA" w14:textId="3B9169E6" w:rsidR="002E7007" w:rsidRDefault="002E7007" w:rsidP="002E7007">
      <w:pPr>
        <w:spacing w:line="360" w:lineRule="auto"/>
        <w:ind w:left="-6" w:hanging="11"/>
        <w:jc w:val="both"/>
      </w:pPr>
      <w:r>
        <w:t>In the estimation of the economic impact we used the Disability-Adjusted Life Years (DALY).</w:t>
      </w:r>
      <w:r w:rsidR="00033B35">
        <w:t xml:space="preserve"> </w:t>
      </w:r>
      <w:r w:rsidR="008505E8">
        <w:t xml:space="preserve">DALY is an epidemiological measure of disease burden expressed in the number of healthy life years lost due to death or disability caused by disease. </w:t>
      </w:r>
      <w:r w:rsidR="00033B35">
        <w:t xml:space="preserve">The </w:t>
      </w:r>
      <w:r w:rsidR="00125BC7">
        <w:t xml:space="preserve">gender specific HCC DALY was derived using WHO’s AFRD Region data used in the Nigerian study. In that study, the estimated value for males was 12.3 DALYs per HCC case and for females 13.8 DALYs per HCC case. Given The Gambia’s proximity and location in </w:t>
      </w:r>
      <w:r w:rsidR="00682757">
        <w:t xml:space="preserve">the </w:t>
      </w:r>
      <w:r w:rsidR="00125BC7">
        <w:t>same AFR D region, we adopted these figures.</w:t>
      </w:r>
    </w:p>
    <w:p w14:paraId="26700022" w14:textId="77F12D3A" w:rsidR="00B04BEF" w:rsidRPr="00D1710D" w:rsidRDefault="00BA3A76" w:rsidP="003E003B">
      <w:pPr>
        <w:pStyle w:val="Heading3"/>
        <w:spacing w:line="480" w:lineRule="auto"/>
        <w:jc w:val="both"/>
      </w:pPr>
      <w:bookmarkStart w:id="34" w:name="_Toc427672771"/>
      <w:r w:rsidRPr="00D1710D">
        <w:t>8.4.</w:t>
      </w:r>
      <w:r w:rsidR="00723669">
        <w:t>3</w:t>
      </w:r>
      <w:r w:rsidR="003D7B12" w:rsidRPr="00D1710D">
        <w:t xml:space="preserve"> </w:t>
      </w:r>
      <w:r w:rsidRPr="00D1710D">
        <w:t>Estimation of medical and non-medical costs for new HCC cases</w:t>
      </w:r>
      <w:bookmarkEnd w:id="34"/>
      <w:r w:rsidRPr="00D1710D">
        <w:t xml:space="preserve"> </w:t>
      </w:r>
    </w:p>
    <w:p w14:paraId="02E5B417" w14:textId="477478CA" w:rsidR="002E7007" w:rsidRDefault="002E7007" w:rsidP="00411ED6">
      <w:pPr>
        <w:spacing w:line="360" w:lineRule="auto"/>
        <w:jc w:val="both"/>
      </w:pPr>
      <w:r>
        <w:t xml:space="preserve">The computation of disease costs comprises three components: direct, morbidity and mortality costs. Direct costs include medical costs, medical costs uncovered, transportation, caregiver and costs for alternative treatment. </w:t>
      </w:r>
      <w:r w:rsidR="005C474F">
        <w:t xml:space="preserve">Table 8 provides </w:t>
      </w:r>
      <w:r w:rsidR="00890723">
        <w:t xml:space="preserve">medical costs incurred per HCC case. Most of the burden is related to the medical costs within which inpatient cost </w:t>
      </w:r>
      <w:r w:rsidR="00B929E7">
        <w:t>is higher</w:t>
      </w:r>
      <w:r w:rsidR="00890723">
        <w:t>.</w:t>
      </w:r>
      <w:r w:rsidR="00B929E7">
        <w:t xml:space="preserve"> </w:t>
      </w:r>
      <w:r w:rsidR="00890723">
        <w:t xml:space="preserve"> </w:t>
      </w:r>
      <w:r w:rsidR="00B929E7">
        <w:t xml:space="preserve">The table also shows that </w:t>
      </w:r>
      <w:r w:rsidR="00535C47">
        <w:t>for</w:t>
      </w:r>
      <w:r w:rsidR="00B929E7">
        <w:t xml:space="preserve"> each HCC prevented, US$ </w:t>
      </w:r>
      <w:r w:rsidR="00535C47">
        <w:t>779</w:t>
      </w:r>
      <w:r w:rsidR="008E6ABA">
        <w:t>.01</w:t>
      </w:r>
      <w:r w:rsidR="00535C47">
        <w:t xml:space="preserve"> is saved from costs due to illness.</w:t>
      </w:r>
    </w:p>
    <w:p w14:paraId="6333539A" w14:textId="77777777" w:rsidR="006118BB" w:rsidRDefault="006118BB" w:rsidP="006118BB">
      <w:pPr>
        <w:spacing w:line="240" w:lineRule="auto"/>
        <w:jc w:val="both"/>
      </w:pPr>
    </w:p>
    <w:p w14:paraId="413A784C" w14:textId="43E175D3" w:rsidR="002E7007" w:rsidRDefault="002E7007" w:rsidP="006118BB">
      <w:pPr>
        <w:spacing w:after="0" w:line="480" w:lineRule="auto"/>
        <w:ind w:left="-6" w:hanging="11"/>
        <w:jc w:val="both"/>
      </w:pPr>
      <w:r>
        <w:t xml:space="preserve">                          Table</w:t>
      </w:r>
      <w:r w:rsidR="005C474F">
        <w:t xml:space="preserve"> 8. </w:t>
      </w:r>
      <w:r w:rsidR="00890723">
        <w:t>Unit c</w:t>
      </w:r>
      <w:r>
        <w:t xml:space="preserve">osts </w:t>
      </w:r>
      <w:r w:rsidR="00890723">
        <w:t xml:space="preserve">per HCC case </w:t>
      </w:r>
      <w:r>
        <w:t xml:space="preserve"> </w:t>
      </w:r>
    </w:p>
    <w:tbl>
      <w:tblPr>
        <w:tblW w:w="7171" w:type="dxa"/>
        <w:jc w:val="center"/>
        <w:tblLook w:val="04A0" w:firstRow="1" w:lastRow="0" w:firstColumn="1" w:lastColumn="0" w:noHBand="0" w:noVBand="1"/>
      </w:tblPr>
      <w:tblGrid>
        <w:gridCol w:w="4390"/>
        <w:gridCol w:w="2781"/>
      </w:tblGrid>
      <w:tr w:rsidR="002E7007" w:rsidRPr="0071772D" w14:paraId="58FD1A5A" w14:textId="77777777" w:rsidTr="00492AEF">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687F" w14:textId="77777777" w:rsidR="002E7007" w:rsidRPr="0071772D" w:rsidRDefault="002E7007" w:rsidP="009175C0">
            <w:pPr>
              <w:spacing w:after="0" w:line="240" w:lineRule="auto"/>
              <w:rPr>
                <w:rFonts w:ascii="Calibri" w:hAnsi="Calibri"/>
                <w:b/>
                <w:bCs/>
              </w:rPr>
            </w:pPr>
            <w:r w:rsidRPr="0071772D">
              <w:rPr>
                <w:rFonts w:ascii="Calibri" w:hAnsi="Calibri"/>
                <w:b/>
                <w:bCs/>
              </w:rPr>
              <w:t>Type of costs</w:t>
            </w:r>
          </w:p>
        </w:tc>
        <w:tc>
          <w:tcPr>
            <w:tcW w:w="2781" w:type="dxa"/>
            <w:tcBorders>
              <w:top w:val="single" w:sz="4" w:space="0" w:color="auto"/>
              <w:left w:val="nil"/>
              <w:bottom w:val="single" w:sz="4" w:space="0" w:color="auto"/>
              <w:right w:val="single" w:sz="4" w:space="0" w:color="auto"/>
            </w:tcBorders>
            <w:shd w:val="clear" w:color="auto" w:fill="auto"/>
            <w:noWrap/>
            <w:vAlign w:val="bottom"/>
            <w:hideMark/>
          </w:tcPr>
          <w:p w14:paraId="2526B511" w14:textId="77777777" w:rsidR="002E7007" w:rsidRPr="0071772D" w:rsidRDefault="002E7007" w:rsidP="009175C0">
            <w:pPr>
              <w:spacing w:after="0" w:line="240" w:lineRule="auto"/>
              <w:rPr>
                <w:rFonts w:ascii="Calibri" w:hAnsi="Calibri"/>
                <w:b/>
                <w:bCs/>
              </w:rPr>
            </w:pPr>
            <w:r>
              <w:rPr>
                <w:rFonts w:ascii="Calibri" w:hAnsi="Calibri"/>
                <w:b/>
                <w:bCs/>
              </w:rPr>
              <w:t>Amount per person (in US$)</w:t>
            </w:r>
          </w:p>
        </w:tc>
      </w:tr>
      <w:tr w:rsidR="00300162" w:rsidRPr="0071772D" w14:paraId="04852C6A" w14:textId="77777777" w:rsidTr="00492AEF">
        <w:trPr>
          <w:trHeight w:val="300"/>
          <w:jc w:val="center"/>
        </w:trPr>
        <w:tc>
          <w:tcPr>
            <w:tcW w:w="71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63B7D" w14:textId="175F8972" w:rsidR="00300162" w:rsidRPr="0071772D" w:rsidRDefault="00300162" w:rsidP="00300162">
            <w:pPr>
              <w:spacing w:after="0" w:line="240" w:lineRule="auto"/>
              <w:rPr>
                <w:rFonts w:ascii="Calibri" w:hAnsi="Calibri"/>
                <w:b/>
                <w:bCs/>
              </w:rPr>
            </w:pPr>
            <w:r w:rsidRPr="0071772D">
              <w:rPr>
                <w:rFonts w:ascii="Calibri" w:hAnsi="Calibri"/>
                <w:b/>
                <w:bCs/>
              </w:rPr>
              <w:t>A: Medical Costs </w:t>
            </w:r>
          </w:p>
        </w:tc>
      </w:tr>
      <w:tr w:rsidR="002E7007" w:rsidRPr="0071772D" w14:paraId="05425A97"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05A339" w14:textId="5E23BDDE" w:rsidR="002E7007" w:rsidRPr="0071772D" w:rsidRDefault="002E7007" w:rsidP="009175C0">
            <w:pPr>
              <w:spacing w:after="0" w:line="240" w:lineRule="auto"/>
              <w:rPr>
                <w:rFonts w:ascii="Calibri" w:hAnsi="Calibri"/>
              </w:rPr>
            </w:pPr>
            <w:r w:rsidRPr="0071772D">
              <w:rPr>
                <w:rFonts w:ascii="Calibri" w:hAnsi="Calibri"/>
              </w:rPr>
              <w:t>Inpatient for one week</w:t>
            </w:r>
            <w:r w:rsidR="002A23D5" w:rsidRPr="0094607A">
              <w:rPr>
                <w:rFonts w:ascii="Calibri" w:hAnsi="Calibri"/>
                <w:vertAlign w:val="superscript"/>
              </w:rPr>
              <w:t>1</w:t>
            </w:r>
          </w:p>
        </w:tc>
        <w:tc>
          <w:tcPr>
            <w:tcW w:w="2781" w:type="dxa"/>
            <w:tcBorders>
              <w:top w:val="nil"/>
              <w:left w:val="nil"/>
              <w:bottom w:val="single" w:sz="4" w:space="0" w:color="auto"/>
              <w:right w:val="single" w:sz="4" w:space="0" w:color="auto"/>
            </w:tcBorders>
            <w:shd w:val="clear" w:color="auto" w:fill="auto"/>
            <w:noWrap/>
            <w:vAlign w:val="bottom"/>
            <w:hideMark/>
          </w:tcPr>
          <w:p w14:paraId="67536479" w14:textId="77777777" w:rsidR="002E7007" w:rsidRPr="0071772D" w:rsidRDefault="002E7007" w:rsidP="009175C0">
            <w:pPr>
              <w:spacing w:after="0" w:line="240" w:lineRule="auto"/>
              <w:jc w:val="right"/>
              <w:rPr>
                <w:rFonts w:ascii="Calibri" w:hAnsi="Calibri"/>
              </w:rPr>
            </w:pPr>
            <w:r w:rsidRPr="0071772D">
              <w:rPr>
                <w:rFonts w:ascii="Calibri" w:hAnsi="Calibri"/>
              </w:rPr>
              <w:t>468.45</w:t>
            </w:r>
          </w:p>
        </w:tc>
      </w:tr>
      <w:tr w:rsidR="002E7007" w:rsidRPr="0071772D" w14:paraId="6EE147C8"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D9A0428" w14:textId="77777777" w:rsidR="002E7007" w:rsidRPr="0071772D" w:rsidRDefault="002E7007" w:rsidP="009175C0">
            <w:pPr>
              <w:spacing w:after="0" w:line="240" w:lineRule="auto"/>
              <w:rPr>
                <w:rFonts w:ascii="Calibri" w:hAnsi="Calibri"/>
              </w:rPr>
            </w:pPr>
            <w:r w:rsidRPr="0071772D">
              <w:rPr>
                <w:rFonts w:ascii="Calibri" w:hAnsi="Calibri"/>
              </w:rPr>
              <w:t>Outpatient</w:t>
            </w:r>
          </w:p>
        </w:tc>
        <w:tc>
          <w:tcPr>
            <w:tcW w:w="2781" w:type="dxa"/>
            <w:tcBorders>
              <w:top w:val="nil"/>
              <w:left w:val="nil"/>
              <w:bottom w:val="single" w:sz="4" w:space="0" w:color="auto"/>
              <w:right w:val="single" w:sz="4" w:space="0" w:color="auto"/>
            </w:tcBorders>
            <w:shd w:val="clear" w:color="auto" w:fill="auto"/>
            <w:noWrap/>
            <w:vAlign w:val="bottom"/>
            <w:hideMark/>
          </w:tcPr>
          <w:p w14:paraId="789E604C" w14:textId="77777777" w:rsidR="002E7007" w:rsidRPr="0071772D" w:rsidRDefault="002E7007" w:rsidP="009175C0">
            <w:pPr>
              <w:spacing w:after="0" w:line="240" w:lineRule="auto"/>
              <w:jc w:val="right"/>
              <w:rPr>
                <w:rFonts w:ascii="Calibri" w:hAnsi="Calibri"/>
              </w:rPr>
            </w:pPr>
            <w:r w:rsidRPr="0071772D">
              <w:rPr>
                <w:rFonts w:ascii="Calibri" w:hAnsi="Calibri"/>
              </w:rPr>
              <w:t>208.56</w:t>
            </w:r>
          </w:p>
        </w:tc>
      </w:tr>
      <w:tr w:rsidR="002E7007" w:rsidRPr="0071772D" w14:paraId="50CD8947"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38BAD61" w14:textId="77777777" w:rsidR="002E7007" w:rsidRPr="0071772D" w:rsidRDefault="002E7007" w:rsidP="009175C0">
            <w:pPr>
              <w:spacing w:after="0" w:line="240" w:lineRule="auto"/>
              <w:rPr>
                <w:rFonts w:ascii="Calibri" w:hAnsi="Calibri"/>
              </w:rPr>
            </w:pPr>
            <w:r w:rsidRPr="0071772D">
              <w:rPr>
                <w:rFonts w:ascii="Calibri" w:hAnsi="Calibri"/>
              </w:rPr>
              <w:t>Prescription drugs</w:t>
            </w:r>
          </w:p>
        </w:tc>
        <w:tc>
          <w:tcPr>
            <w:tcW w:w="2781" w:type="dxa"/>
            <w:tcBorders>
              <w:top w:val="nil"/>
              <w:left w:val="nil"/>
              <w:bottom w:val="single" w:sz="4" w:space="0" w:color="auto"/>
              <w:right w:val="single" w:sz="4" w:space="0" w:color="auto"/>
            </w:tcBorders>
            <w:shd w:val="clear" w:color="auto" w:fill="auto"/>
            <w:noWrap/>
            <w:vAlign w:val="bottom"/>
            <w:hideMark/>
          </w:tcPr>
          <w:p w14:paraId="30874778" w14:textId="77777777" w:rsidR="002E7007" w:rsidRPr="0071772D" w:rsidRDefault="002E7007" w:rsidP="009175C0">
            <w:pPr>
              <w:spacing w:after="0" w:line="240" w:lineRule="auto"/>
              <w:jc w:val="right"/>
              <w:rPr>
                <w:rFonts w:ascii="Calibri" w:hAnsi="Calibri"/>
              </w:rPr>
            </w:pPr>
            <w:r w:rsidRPr="0071772D">
              <w:rPr>
                <w:rFonts w:ascii="Calibri" w:hAnsi="Calibri"/>
              </w:rPr>
              <w:t>12.50</w:t>
            </w:r>
          </w:p>
        </w:tc>
      </w:tr>
      <w:tr w:rsidR="002E7007" w:rsidRPr="0071772D" w14:paraId="03E8471E"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8185BF4" w14:textId="77777777" w:rsidR="002E7007" w:rsidRPr="0071772D" w:rsidRDefault="002E7007" w:rsidP="009175C0">
            <w:pPr>
              <w:spacing w:after="0" w:line="240" w:lineRule="auto"/>
              <w:rPr>
                <w:rFonts w:ascii="Calibri" w:hAnsi="Calibri"/>
                <w:b/>
                <w:bCs/>
              </w:rPr>
            </w:pPr>
            <w:r w:rsidRPr="0071772D">
              <w:rPr>
                <w:rFonts w:ascii="Calibri" w:hAnsi="Calibri"/>
                <w:b/>
                <w:bCs/>
              </w:rPr>
              <w:t>Subtotal (medical care costs)</w:t>
            </w:r>
          </w:p>
        </w:tc>
        <w:tc>
          <w:tcPr>
            <w:tcW w:w="2781" w:type="dxa"/>
            <w:tcBorders>
              <w:top w:val="nil"/>
              <w:left w:val="nil"/>
              <w:bottom w:val="single" w:sz="4" w:space="0" w:color="auto"/>
              <w:right w:val="single" w:sz="4" w:space="0" w:color="auto"/>
            </w:tcBorders>
            <w:shd w:val="clear" w:color="auto" w:fill="auto"/>
            <w:noWrap/>
            <w:vAlign w:val="bottom"/>
            <w:hideMark/>
          </w:tcPr>
          <w:p w14:paraId="598CA6CF" w14:textId="77777777" w:rsidR="002E7007" w:rsidRPr="0071772D" w:rsidRDefault="002E7007" w:rsidP="009175C0">
            <w:pPr>
              <w:spacing w:after="0" w:line="240" w:lineRule="auto"/>
              <w:jc w:val="right"/>
              <w:rPr>
                <w:rFonts w:ascii="Calibri" w:hAnsi="Calibri"/>
                <w:b/>
                <w:bCs/>
              </w:rPr>
            </w:pPr>
            <w:r w:rsidRPr="0071772D">
              <w:rPr>
                <w:rFonts w:ascii="Calibri" w:hAnsi="Calibri"/>
                <w:b/>
                <w:bCs/>
              </w:rPr>
              <w:t>689.51</w:t>
            </w:r>
          </w:p>
        </w:tc>
      </w:tr>
      <w:tr w:rsidR="00300162" w:rsidRPr="0071772D" w14:paraId="5FE0F35C" w14:textId="77777777" w:rsidTr="00492AEF">
        <w:trPr>
          <w:trHeight w:val="300"/>
          <w:jc w:val="center"/>
        </w:trPr>
        <w:tc>
          <w:tcPr>
            <w:tcW w:w="71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8E3DAE" w14:textId="4E019801" w:rsidR="00300162" w:rsidRPr="0071772D" w:rsidRDefault="00300162" w:rsidP="00300162">
            <w:pPr>
              <w:spacing w:after="0" w:line="240" w:lineRule="auto"/>
              <w:rPr>
                <w:rFonts w:ascii="Calibri" w:hAnsi="Calibri"/>
              </w:rPr>
            </w:pPr>
            <w:r w:rsidRPr="0071772D">
              <w:rPr>
                <w:rFonts w:ascii="Calibri" w:hAnsi="Calibri"/>
                <w:b/>
                <w:bCs/>
              </w:rPr>
              <w:t>B: Non-medical Costs</w:t>
            </w:r>
            <w:r w:rsidRPr="0071772D">
              <w:rPr>
                <w:rFonts w:ascii="Calibri" w:hAnsi="Calibri"/>
              </w:rPr>
              <w:t> </w:t>
            </w:r>
          </w:p>
        </w:tc>
      </w:tr>
      <w:tr w:rsidR="002E7007" w:rsidRPr="0071772D" w14:paraId="78D3C187"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3E4E9C5" w14:textId="77777777" w:rsidR="002E7007" w:rsidRPr="0071772D" w:rsidRDefault="002E7007" w:rsidP="009175C0">
            <w:pPr>
              <w:spacing w:after="0" w:line="240" w:lineRule="auto"/>
              <w:rPr>
                <w:rFonts w:ascii="Calibri" w:hAnsi="Calibri"/>
              </w:rPr>
            </w:pPr>
            <w:r w:rsidRPr="0071772D">
              <w:rPr>
                <w:rFonts w:ascii="Calibri" w:hAnsi="Calibri"/>
              </w:rPr>
              <w:t>Caregiver time costs</w:t>
            </w:r>
          </w:p>
        </w:tc>
        <w:tc>
          <w:tcPr>
            <w:tcW w:w="2781" w:type="dxa"/>
            <w:tcBorders>
              <w:top w:val="nil"/>
              <w:left w:val="nil"/>
              <w:bottom w:val="single" w:sz="4" w:space="0" w:color="auto"/>
              <w:right w:val="single" w:sz="4" w:space="0" w:color="auto"/>
            </w:tcBorders>
            <w:shd w:val="clear" w:color="auto" w:fill="auto"/>
            <w:noWrap/>
            <w:vAlign w:val="bottom"/>
            <w:hideMark/>
          </w:tcPr>
          <w:p w14:paraId="0FE900E3" w14:textId="77777777" w:rsidR="002E7007" w:rsidRPr="0071772D" w:rsidRDefault="002E7007" w:rsidP="009175C0">
            <w:pPr>
              <w:spacing w:after="0" w:line="240" w:lineRule="auto"/>
              <w:jc w:val="right"/>
              <w:rPr>
                <w:rFonts w:ascii="Calibri" w:hAnsi="Calibri"/>
              </w:rPr>
            </w:pPr>
            <w:r w:rsidRPr="0071772D">
              <w:rPr>
                <w:rFonts w:ascii="Calibri" w:hAnsi="Calibri"/>
              </w:rPr>
              <w:t>56.00</w:t>
            </w:r>
          </w:p>
        </w:tc>
      </w:tr>
      <w:tr w:rsidR="002E7007" w:rsidRPr="0071772D" w14:paraId="27D4F514"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EB459AB" w14:textId="77777777" w:rsidR="002E7007" w:rsidRPr="0071772D" w:rsidRDefault="002E7007" w:rsidP="009175C0">
            <w:pPr>
              <w:spacing w:after="0" w:line="240" w:lineRule="auto"/>
              <w:rPr>
                <w:rFonts w:ascii="Calibri" w:hAnsi="Calibri"/>
              </w:rPr>
            </w:pPr>
            <w:r w:rsidRPr="0071772D">
              <w:rPr>
                <w:rFonts w:ascii="Calibri" w:hAnsi="Calibri"/>
              </w:rPr>
              <w:t>Transportation</w:t>
            </w:r>
          </w:p>
        </w:tc>
        <w:tc>
          <w:tcPr>
            <w:tcW w:w="2781" w:type="dxa"/>
            <w:tcBorders>
              <w:top w:val="nil"/>
              <w:left w:val="nil"/>
              <w:bottom w:val="single" w:sz="4" w:space="0" w:color="auto"/>
              <w:right w:val="single" w:sz="4" w:space="0" w:color="auto"/>
            </w:tcBorders>
            <w:shd w:val="clear" w:color="auto" w:fill="auto"/>
            <w:noWrap/>
            <w:vAlign w:val="bottom"/>
            <w:hideMark/>
          </w:tcPr>
          <w:p w14:paraId="17E0D841" w14:textId="77777777" w:rsidR="002E7007" w:rsidRPr="0071772D" w:rsidRDefault="002E7007" w:rsidP="009175C0">
            <w:pPr>
              <w:spacing w:after="0" w:line="240" w:lineRule="auto"/>
              <w:jc w:val="right"/>
              <w:rPr>
                <w:rFonts w:ascii="Calibri" w:hAnsi="Calibri"/>
              </w:rPr>
            </w:pPr>
            <w:r w:rsidRPr="0071772D">
              <w:rPr>
                <w:rFonts w:ascii="Calibri" w:hAnsi="Calibri"/>
              </w:rPr>
              <w:t>3.00</w:t>
            </w:r>
          </w:p>
        </w:tc>
      </w:tr>
      <w:tr w:rsidR="002E7007" w:rsidRPr="0071772D" w14:paraId="3516E17E" w14:textId="77777777" w:rsidTr="00492AE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FCAD456" w14:textId="77777777" w:rsidR="002E7007" w:rsidRPr="0071772D" w:rsidRDefault="002E7007" w:rsidP="009175C0">
            <w:pPr>
              <w:spacing w:after="0" w:line="240" w:lineRule="auto"/>
              <w:rPr>
                <w:rFonts w:ascii="Calibri" w:hAnsi="Calibri"/>
              </w:rPr>
            </w:pPr>
            <w:r w:rsidRPr="0071772D">
              <w:rPr>
                <w:rFonts w:ascii="Calibri" w:hAnsi="Calibri"/>
              </w:rPr>
              <w:t>Complementary and alternative medicine</w:t>
            </w:r>
          </w:p>
        </w:tc>
        <w:tc>
          <w:tcPr>
            <w:tcW w:w="2781" w:type="dxa"/>
            <w:tcBorders>
              <w:top w:val="nil"/>
              <w:left w:val="nil"/>
              <w:bottom w:val="single" w:sz="4" w:space="0" w:color="auto"/>
              <w:right w:val="single" w:sz="4" w:space="0" w:color="auto"/>
            </w:tcBorders>
            <w:shd w:val="clear" w:color="auto" w:fill="auto"/>
            <w:noWrap/>
            <w:vAlign w:val="bottom"/>
            <w:hideMark/>
          </w:tcPr>
          <w:p w14:paraId="1340B971" w14:textId="77777777" w:rsidR="002E7007" w:rsidRPr="0071772D" w:rsidRDefault="002E7007" w:rsidP="009175C0">
            <w:pPr>
              <w:spacing w:after="0" w:line="240" w:lineRule="auto"/>
              <w:jc w:val="right"/>
              <w:rPr>
                <w:rFonts w:ascii="Calibri" w:hAnsi="Calibri"/>
              </w:rPr>
            </w:pPr>
            <w:r w:rsidRPr="0071772D">
              <w:rPr>
                <w:rFonts w:ascii="Calibri" w:hAnsi="Calibri"/>
              </w:rPr>
              <w:t>30.50</w:t>
            </w:r>
          </w:p>
        </w:tc>
      </w:tr>
      <w:tr w:rsidR="00B929E7" w:rsidRPr="0071772D" w14:paraId="0712149C" w14:textId="77777777" w:rsidTr="00831765">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45CF30A0" w14:textId="0BBF590A" w:rsidR="00B929E7" w:rsidRPr="0071772D" w:rsidRDefault="00B929E7" w:rsidP="00B929E7">
            <w:pPr>
              <w:spacing w:after="0" w:line="240" w:lineRule="auto"/>
              <w:rPr>
                <w:rFonts w:ascii="Calibri" w:hAnsi="Calibri"/>
              </w:rPr>
            </w:pPr>
            <w:r w:rsidRPr="0071772D">
              <w:rPr>
                <w:rFonts w:ascii="Calibri" w:hAnsi="Calibri"/>
                <w:b/>
                <w:bCs/>
              </w:rPr>
              <w:t>Subtotal (non-medical costs)</w:t>
            </w:r>
          </w:p>
        </w:tc>
        <w:tc>
          <w:tcPr>
            <w:tcW w:w="2781" w:type="dxa"/>
            <w:tcBorders>
              <w:top w:val="nil"/>
              <w:left w:val="nil"/>
              <w:bottom w:val="single" w:sz="4" w:space="0" w:color="auto"/>
              <w:right w:val="single" w:sz="4" w:space="0" w:color="auto"/>
            </w:tcBorders>
            <w:shd w:val="clear" w:color="auto" w:fill="auto"/>
            <w:noWrap/>
            <w:vAlign w:val="bottom"/>
          </w:tcPr>
          <w:p w14:paraId="388951C0" w14:textId="46C79632" w:rsidR="00B929E7" w:rsidRPr="0071772D" w:rsidRDefault="00B929E7" w:rsidP="00B929E7">
            <w:pPr>
              <w:spacing w:after="0" w:line="240" w:lineRule="auto"/>
              <w:jc w:val="right"/>
              <w:rPr>
                <w:rFonts w:ascii="Calibri" w:hAnsi="Calibri"/>
              </w:rPr>
            </w:pPr>
            <w:r w:rsidRPr="0071772D">
              <w:rPr>
                <w:rFonts w:ascii="Calibri" w:hAnsi="Calibri"/>
                <w:b/>
                <w:bCs/>
              </w:rPr>
              <w:t>89.50</w:t>
            </w:r>
          </w:p>
        </w:tc>
      </w:tr>
      <w:tr w:rsidR="00B929E7" w:rsidRPr="0071772D" w14:paraId="66EB9434" w14:textId="77777777" w:rsidTr="00831765">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57684" w14:textId="4E4FA59F" w:rsidR="00B929E7" w:rsidRPr="0071772D" w:rsidRDefault="00535C47" w:rsidP="00B929E7">
            <w:pPr>
              <w:spacing w:after="0" w:line="240" w:lineRule="auto"/>
              <w:rPr>
                <w:rFonts w:ascii="Calibri" w:hAnsi="Calibri"/>
                <w:b/>
                <w:bCs/>
              </w:rPr>
            </w:pPr>
            <w:r>
              <w:rPr>
                <w:rFonts w:ascii="Calibri" w:hAnsi="Calibri"/>
                <w:b/>
                <w:bCs/>
              </w:rPr>
              <w:t>Total cost</w:t>
            </w:r>
          </w:p>
        </w:tc>
        <w:tc>
          <w:tcPr>
            <w:tcW w:w="2781" w:type="dxa"/>
            <w:tcBorders>
              <w:top w:val="single" w:sz="4" w:space="0" w:color="auto"/>
              <w:left w:val="nil"/>
              <w:bottom w:val="single" w:sz="4" w:space="0" w:color="auto"/>
              <w:right w:val="single" w:sz="4" w:space="0" w:color="auto"/>
            </w:tcBorders>
            <w:shd w:val="clear" w:color="auto" w:fill="auto"/>
            <w:noWrap/>
            <w:vAlign w:val="bottom"/>
          </w:tcPr>
          <w:p w14:paraId="1D307455" w14:textId="310F53E1" w:rsidR="00B929E7" w:rsidRPr="0071772D" w:rsidRDefault="00B929E7" w:rsidP="00B929E7">
            <w:pPr>
              <w:spacing w:after="0" w:line="240" w:lineRule="auto"/>
              <w:jc w:val="right"/>
              <w:rPr>
                <w:rFonts w:ascii="Calibri" w:hAnsi="Calibri"/>
                <w:b/>
                <w:bCs/>
              </w:rPr>
            </w:pPr>
            <w:r>
              <w:rPr>
                <w:rFonts w:ascii="Calibri" w:hAnsi="Calibri"/>
                <w:b/>
                <w:bCs/>
              </w:rPr>
              <w:t>779.01</w:t>
            </w:r>
          </w:p>
        </w:tc>
      </w:tr>
    </w:tbl>
    <w:p w14:paraId="00F456C5" w14:textId="77777777" w:rsidR="002A23D5" w:rsidRDefault="00535C47" w:rsidP="00300162">
      <w:pPr>
        <w:tabs>
          <w:tab w:val="right" w:pos="9360"/>
        </w:tabs>
      </w:pPr>
      <w:r>
        <w:t xml:space="preserve">                         Sources: MRC and Edward Francis Small Teaching Hospital</w:t>
      </w:r>
      <w:r w:rsidR="002A23D5">
        <w:t xml:space="preserve">; </w:t>
      </w:r>
    </w:p>
    <w:p w14:paraId="1C37D2F4" w14:textId="020EA38D" w:rsidR="002A23D5" w:rsidRDefault="002A23D5" w:rsidP="00300162">
      <w:pPr>
        <w:tabs>
          <w:tab w:val="right" w:pos="9360"/>
        </w:tabs>
      </w:pPr>
      <w:r>
        <w:t xml:space="preserve">                         </w:t>
      </w:r>
      <w:r w:rsidRPr="0094607A">
        <w:rPr>
          <w:vertAlign w:val="superscript"/>
        </w:rPr>
        <w:t>1</w:t>
      </w:r>
      <w:r w:rsidRPr="002A23D5">
        <w:rPr>
          <w:lang w:val="en-US"/>
        </w:rPr>
        <w:t xml:space="preserve"> </w:t>
      </w:r>
      <w:r>
        <w:rPr>
          <w:lang w:val="en-US"/>
        </w:rPr>
        <w:t>Hospital bed admissions are charged per week</w:t>
      </w:r>
    </w:p>
    <w:p w14:paraId="5B6E2314" w14:textId="24A4A44C" w:rsidR="00D55256" w:rsidRDefault="00300162" w:rsidP="00300162">
      <w:pPr>
        <w:tabs>
          <w:tab w:val="right" w:pos="9360"/>
        </w:tabs>
      </w:pPr>
      <w:r>
        <w:tab/>
      </w:r>
    </w:p>
    <w:p w14:paraId="1AC01B07" w14:textId="5A4AAB02" w:rsidR="00535C47" w:rsidRDefault="00A2765D" w:rsidP="003E003B">
      <w:pPr>
        <w:pStyle w:val="Heading3"/>
        <w:spacing w:line="480" w:lineRule="auto"/>
        <w:jc w:val="both"/>
      </w:pPr>
      <w:bookmarkStart w:id="35" w:name="_Toc427672772"/>
      <w:r w:rsidRPr="00264400">
        <w:lastRenderedPageBreak/>
        <w:t>8.</w:t>
      </w:r>
      <w:r w:rsidR="00AE7FD8" w:rsidRPr="00264400">
        <w:t>4</w:t>
      </w:r>
      <w:r w:rsidRPr="00BA3A76">
        <w:t>.</w:t>
      </w:r>
      <w:r w:rsidR="00723669">
        <w:t>4</w:t>
      </w:r>
      <w:r w:rsidRPr="00BA3A76">
        <w:t xml:space="preserve"> </w:t>
      </w:r>
      <w:r w:rsidR="00535C47" w:rsidRPr="00BA3A76">
        <w:t>Gender specific economic impact</w:t>
      </w:r>
      <w:bookmarkEnd w:id="35"/>
      <w:r w:rsidR="00535C47">
        <w:t xml:space="preserve"> </w:t>
      </w:r>
    </w:p>
    <w:p w14:paraId="116177A4" w14:textId="53C3C017" w:rsidR="00A70CFC" w:rsidRDefault="00DB54FD" w:rsidP="001C0E90">
      <w:pPr>
        <w:spacing w:line="360" w:lineRule="auto"/>
        <w:ind w:left="-6" w:hanging="11"/>
        <w:jc w:val="both"/>
      </w:pPr>
      <w:r>
        <w:t>The population modelled in this</w:t>
      </w:r>
      <w:r w:rsidR="00A70CFC">
        <w:t xml:space="preserve"> study</w:t>
      </w:r>
      <w:r>
        <w:t xml:space="preserve"> had a median of </w:t>
      </w:r>
      <w:r w:rsidR="00723669">
        <w:t>36,513</w:t>
      </w:r>
      <w:r>
        <w:t xml:space="preserve"> females.</w:t>
      </w:r>
      <w:r w:rsidR="00A70CFC">
        <w:t xml:space="preserve"> </w:t>
      </w:r>
      <w:r>
        <w:t xml:space="preserve">From a median of </w:t>
      </w:r>
      <w:r w:rsidR="00723669">
        <w:t>5,477</w:t>
      </w:r>
      <w:r>
        <w:t xml:space="preserve"> </w:t>
      </w:r>
      <w:r w:rsidR="00723669">
        <w:t xml:space="preserve">positive </w:t>
      </w:r>
      <w:r>
        <w:t xml:space="preserve"> chronic Hepatitis B </w:t>
      </w:r>
      <w:r w:rsidR="00723669">
        <w:t>cases, 1,420 wil</w:t>
      </w:r>
      <w:r w:rsidRPr="001C0E90">
        <w:t>l develop HCC and result</w:t>
      </w:r>
      <w:r w:rsidR="001C0E90" w:rsidRPr="001C0E90">
        <w:t xml:space="preserve"> </w:t>
      </w:r>
      <w:r w:rsidRPr="001C0E90">
        <w:t>to death within the year.</w:t>
      </w:r>
      <w:r w:rsidR="001C0E90" w:rsidRPr="001C0E90">
        <w:t xml:space="preserve"> From this, morbidity and mortality a total of </w:t>
      </w:r>
      <w:r w:rsidR="00AF30F1">
        <w:t>73,314</w:t>
      </w:r>
      <w:r w:rsidR="001C0E90" w:rsidRPr="001C0E90">
        <w:t xml:space="preserve"> DALYs (discounted at 3%) would be lost equivalent to a loss of US$ </w:t>
      </w:r>
      <w:r w:rsidR="00AF30F1">
        <w:t>36,803,855</w:t>
      </w:r>
      <w:r w:rsidR="001C0E90" w:rsidRPr="001C0E90">
        <w:t xml:space="preserve"> worth of GDP</w:t>
      </w:r>
      <w:r w:rsidR="001C0E90">
        <w:t>.</w:t>
      </w:r>
      <w:r w:rsidR="00404E87">
        <w:t xml:space="preserve"> Total medical cost for females amount to a median of US$ </w:t>
      </w:r>
      <w:r w:rsidR="00AF30F1">
        <w:t>3,776,412</w:t>
      </w:r>
      <w:r w:rsidR="00404E87">
        <w:t xml:space="preserve"> while non-medical </w:t>
      </w:r>
      <w:r w:rsidR="0058284D">
        <w:t>is</w:t>
      </w:r>
      <w:r w:rsidR="00404E87">
        <w:t xml:space="preserve"> US$ </w:t>
      </w:r>
      <w:r w:rsidR="00AF30F1">
        <w:t>555,910</w:t>
      </w:r>
      <w:r w:rsidR="006118BB">
        <w:t>.</w:t>
      </w:r>
    </w:p>
    <w:p w14:paraId="20BAFC9A" w14:textId="77777777" w:rsidR="006118BB" w:rsidRDefault="006118BB" w:rsidP="006118BB">
      <w:pPr>
        <w:spacing w:line="240" w:lineRule="auto"/>
        <w:ind w:left="-6" w:hanging="11"/>
        <w:jc w:val="both"/>
      </w:pPr>
    </w:p>
    <w:p w14:paraId="75A05D74" w14:textId="4F7CE8D4" w:rsidR="00535C47" w:rsidRDefault="00A70CFC" w:rsidP="006118BB">
      <w:pPr>
        <w:spacing w:after="0" w:line="480" w:lineRule="auto"/>
        <w:jc w:val="both"/>
      </w:pPr>
      <w:r>
        <w:t xml:space="preserve">Table 9. </w:t>
      </w:r>
      <w:r w:rsidR="00404E87">
        <w:t>Economic and epidemio</w:t>
      </w:r>
      <w:r w:rsidR="005960B9">
        <w:t xml:space="preserve">logical values for females </w:t>
      </w:r>
    </w:p>
    <w:tbl>
      <w:tblPr>
        <w:tblW w:w="9350" w:type="dxa"/>
        <w:tblInd w:w="113" w:type="dxa"/>
        <w:tblLook w:val="04A0" w:firstRow="1" w:lastRow="0" w:firstColumn="1" w:lastColumn="0" w:noHBand="0" w:noVBand="1"/>
      </w:tblPr>
      <w:tblGrid>
        <w:gridCol w:w="4586"/>
        <w:gridCol w:w="1376"/>
        <w:gridCol w:w="1750"/>
        <w:gridCol w:w="1638"/>
      </w:tblGrid>
      <w:tr w:rsidR="006038DD" w:rsidRPr="006038DD" w14:paraId="2C9D7E3E" w14:textId="77777777" w:rsidTr="006038DD">
        <w:trPr>
          <w:trHeight w:val="315"/>
        </w:trPr>
        <w:tc>
          <w:tcPr>
            <w:tcW w:w="935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63D98B"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Adult Female Population (15-65+)</w:t>
            </w:r>
          </w:p>
        </w:tc>
      </w:tr>
      <w:tr w:rsidR="006038DD" w:rsidRPr="006038DD" w14:paraId="36EBEDFC"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3100D4B6" w14:textId="77777777" w:rsidR="006038DD" w:rsidRPr="006038DD" w:rsidRDefault="006038DD" w:rsidP="006038DD">
            <w:pPr>
              <w:spacing w:after="0" w:line="240" w:lineRule="auto"/>
              <w:ind w:left="0" w:firstLine="0"/>
              <w:rPr>
                <w:rFonts w:ascii="Calibri" w:hAnsi="Calibri"/>
              </w:rPr>
            </w:pPr>
            <w:r w:rsidRPr="006038DD">
              <w:rPr>
                <w:rFonts w:ascii="Calibri" w:hAnsi="Calibri"/>
              </w:rPr>
              <w:t> </w:t>
            </w:r>
          </w:p>
        </w:tc>
        <w:tc>
          <w:tcPr>
            <w:tcW w:w="1376" w:type="dxa"/>
            <w:tcBorders>
              <w:top w:val="nil"/>
              <w:left w:val="nil"/>
              <w:bottom w:val="single" w:sz="4" w:space="0" w:color="auto"/>
              <w:right w:val="single" w:sz="4" w:space="0" w:color="auto"/>
            </w:tcBorders>
            <w:shd w:val="clear" w:color="auto" w:fill="auto"/>
            <w:noWrap/>
            <w:vAlign w:val="bottom"/>
            <w:hideMark/>
          </w:tcPr>
          <w:p w14:paraId="07ED08D6"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1st Quartile</w:t>
            </w:r>
          </w:p>
        </w:tc>
        <w:tc>
          <w:tcPr>
            <w:tcW w:w="1750" w:type="dxa"/>
            <w:tcBorders>
              <w:top w:val="nil"/>
              <w:left w:val="nil"/>
              <w:bottom w:val="single" w:sz="4" w:space="0" w:color="auto"/>
              <w:right w:val="single" w:sz="4" w:space="0" w:color="auto"/>
            </w:tcBorders>
            <w:shd w:val="clear" w:color="auto" w:fill="auto"/>
            <w:noWrap/>
            <w:vAlign w:val="bottom"/>
            <w:hideMark/>
          </w:tcPr>
          <w:p w14:paraId="2B78AE7E"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Median</w:t>
            </w:r>
          </w:p>
        </w:tc>
        <w:tc>
          <w:tcPr>
            <w:tcW w:w="1638" w:type="dxa"/>
            <w:tcBorders>
              <w:top w:val="nil"/>
              <w:left w:val="nil"/>
              <w:bottom w:val="single" w:sz="4" w:space="0" w:color="auto"/>
              <w:right w:val="single" w:sz="4" w:space="0" w:color="auto"/>
            </w:tcBorders>
            <w:shd w:val="clear" w:color="auto" w:fill="auto"/>
            <w:noWrap/>
            <w:vAlign w:val="bottom"/>
            <w:hideMark/>
          </w:tcPr>
          <w:p w14:paraId="4FCAECD1"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3rd Quartile</w:t>
            </w:r>
          </w:p>
        </w:tc>
      </w:tr>
      <w:tr w:rsidR="006038DD" w:rsidRPr="006038DD" w14:paraId="385526D8"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1415B12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Population</w:t>
            </w:r>
          </w:p>
        </w:tc>
        <w:tc>
          <w:tcPr>
            <w:tcW w:w="1376" w:type="dxa"/>
            <w:tcBorders>
              <w:top w:val="nil"/>
              <w:left w:val="nil"/>
              <w:bottom w:val="single" w:sz="4" w:space="0" w:color="auto"/>
              <w:right w:val="single" w:sz="4" w:space="0" w:color="auto"/>
            </w:tcBorders>
            <w:shd w:val="clear" w:color="auto" w:fill="auto"/>
            <w:noWrap/>
            <w:vAlign w:val="bottom"/>
            <w:hideMark/>
          </w:tcPr>
          <w:p w14:paraId="1F398EB1"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24,688 </w:t>
            </w:r>
          </w:p>
        </w:tc>
        <w:tc>
          <w:tcPr>
            <w:tcW w:w="1750" w:type="dxa"/>
            <w:tcBorders>
              <w:top w:val="nil"/>
              <w:left w:val="nil"/>
              <w:bottom w:val="single" w:sz="4" w:space="0" w:color="auto"/>
              <w:right w:val="single" w:sz="4" w:space="0" w:color="auto"/>
            </w:tcBorders>
            <w:shd w:val="clear" w:color="auto" w:fill="auto"/>
            <w:noWrap/>
            <w:vAlign w:val="bottom"/>
            <w:hideMark/>
          </w:tcPr>
          <w:p w14:paraId="7E23E341"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36,513 </w:t>
            </w:r>
          </w:p>
        </w:tc>
        <w:tc>
          <w:tcPr>
            <w:tcW w:w="1638" w:type="dxa"/>
            <w:tcBorders>
              <w:top w:val="nil"/>
              <w:left w:val="nil"/>
              <w:bottom w:val="single" w:sz="4" w:space="0" w:color="auto"/>
              <w:right w:val="single" w:sz="4" w:space="0" w:color="auto"/>
            </w:tcBorders>
            <w:shd w:val="clear" w:color="auto" w:fill="auto"/>
            <w:noWrap/>
            <w:vAlign w:val="bottom"/>
            <w:hideMark/>
          </w:tcPr>
          <w:p w14:paraId="41D2355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75,061 </w:t>
            </w:r>
          </w:p>
        </w:tc>
      </w:tr>
      <w:tr w:rsidR="006038DD" w:rsidRPr="006038DD" w14:paraId="4F36C78D"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35BFF6F3"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DALYs*</w:t>
            </w:r>
          </w:p>
        </w:tc>
        <w:tc>
          <w:tcPr>
            <w:tcW w:w="1376" w:type="dxa"/>
            <w:tcBorders>
              <w:top w:val="nil"/>
              <w:left w:val="nil"/>
              <w:bottom w:val="single" w:sz="4" w:space="0" w:color="auto"/>
              <w:right w:val="single" w:sz="4" w:space="0" w:color="auto"/>
            </w:tcBorders>
            <w:shd w:val="clear" w:color="auto" w:fill="auto"/>
            <w:noWrap/>
            <w:vAlign w:val="bottom"/>
            <w:hideMark/>
          </w:tcPr>
          <w:p w14:paraId="207190E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49,570 </w:t>
            </w:r>
          </w:p>
        </w:tc>
        <w:tc>
          <w:tcPr>
            <w:tcW w:w="1750" w:type="dxa"/>
            <w:tcBorders>
              <w:top w:val="nil"/>
              <w:left w:val="nil"/>
              <w:bottom w:val="single" w:sz="4" w:space="0" w:color="auto"/>
              <w:right w:val="single" w:sz="4" w:space="0" w:color="auto"/>
            </w:tcBorders>
            <w:shd w:val="clear" w:color="auto" w:fill="auto"/>
            <w:noWrap/>
            <w:vAlign w:val="bottom"/>
            <w:hideMark/>
          </w:tcPr>
          <w:p w14:paraId="3FD00851"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73,314 </w:t>
            </w:r>
          </w:p>
        </w:tc>
        <w:tc>
          <w:tcPr>
            <w:tcW w:w="1638" w:type="dxa"/>
            <w:tcBorders>
              <w:top w:val="nil"/>
              <w:left w:val="nil"/>
              <w:bottom w:val="single" w:sz="4" w:space="0" w:color="auto"/>
              <w:right w:val="single" w:sz="4" w:space="0" w:color="auto"/>
            </w:tcBorders>
            <w:shd w:val="clear" w:color="auto" w:fill="auto"/>
            <w:noWrap/>
            <w:vAlign w:val="bottom"/>
            <w:hideMark/>
          </w:tcPr>
          <w:p w14:paraId="2ADBD994"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150,715 </w:t>
            </w:r>
          </w:p>
        </w:tc>
      </w:tr>
      <w:tr w:rsidR="006038DD" w:rsidRPr="006038DD" w14:paraId="514293CA"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03923C53"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Monetized DALYs</w:t>
            </w:r>
          </w:p>
        </w:tc>
        <w:tc>
          <w:tcPr>
            <w:tcW w:w="1376" w:type="dxa"/>
            <w:tcBorders>
              <w:top w:val="nil"/>
              <w:left w:val="nil"/>
              <w:bottom w:val="single" w:sz="4" w:space="0" w:color="auto"/>
              <w:right w:val="single" w:sz="4" w:space="0" w:color="auto"/>
            </w:tcBorders>
            <w:shd w:val="clear" w:color="auto" w:fill="auto"/>
            <w:noWrap/>
            <w:vAlign w:val="bottom"/>
            <w:hideMark/>
          </w:tcPr>
          <w:p w14:paraId="1C20F64D"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24,884,156 </w:t>
            </w:r>
          </w:p>
        </w:tc>
        <w:tc>
          <w:tcPr>
            <w:tcW w:w="1750" w:type="dxa"/>
            <w:tcBorders>
              <w:top w:val="nil"/>
              <w:left w:val="nil"/>
              <w:bottom w:val="single" w:sz="4" w:space="0" w:color="auto"/>
              <w:right w:val="single" w:sz="4" w:space="0" w:color="auto"/>
            </w:tcBorders>
            <w:shd w:val="clear" w:color="auto" w:fill="auto"/>
            <w:noWrap/>
            <w:vAlign w:val="bottom"/>
            <w:hideMark/>
          </w:tcPr>
          <w:p w14:paraId="379599A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36,803,855 </w:t>
            </w:r>
          </w:p>
        </w:tc>
        <w:tc>
          <w:tcPr>
            <w:tcW w:w="1638" w:type="dxa"/>
            <w:tcBorders>
              <w:top w:val="nil"/>
              <w:left w:val="nil"/>
              <w:bottom w:val="single" w:sz="4" w:space="0" w:color="auto"/>
              <w:right w:val="single" w:sz="4" w:space="0" w:color="auto"/>
            </w:tcBorders>
            <w:shd w:val="clear" w:color="auto" w:fill="auto"/>
            <w:noWrap/>
            <w:vAlign w:val="bottom"/>
            <w:hideMark/>
          </w:tcPr>
          <w:p w14:paraId="01345F8F"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75,658,921 </w:t>
            </w:r>
          </w:p>
        </w:tc>
      </w:tr>
      <w:tr w:rsidR="006038DD" w:rsidRPr="006038DD" w14:paraId="2B443FFF"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022C97FC"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Chronic Hepatitis B (positive)</w:t>
            </w:r>
          </w:p>
        </w:tc>
        <w:tc>
          <w:tcPr>
            <w:tcW w:w="1376" w:type="dxa"/>
            <w:tcBorders>
              <w:top w:val="nil"/>
              <w:left w:val="nil"/>
              <w:bottom w:val="single" w:sz="4" w:space="0" w:color="auto"/>
              <w:right w:val="single" w:sz="4" w:space="0" w:color="auto"/>
            </w:tcBorders>
            <w:shd w:val="clear" w:color="auto" w:fill="auto"/>
            <w:noWrap/>
            <w:vAlign w:val="bottom"/>
            <w:hideMark/>
          </w:tcPr>
          <w:p w14:paraId="03CF5732"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3,703 </w:t>
            </w:r>
          </w:p>
        </w:tc>
        <w:tc>
          <w:tcPr>
            <w:tcW w:w="1750" w:type="dxa"/>
            <w:tcBorders>
              <w:top w:val="nil"/>
              <w:left w:val="nil"/>
              <w:bottom w:val="single" w:sz="4" w:space="0" w:color="auto"/>
              <w:right w:val="single" w:sz="4" w:space="0" w:color="auto"/>
            </w:tcBorders>
            <w:shd w:val="clear" w:color="auto" w:fill="auto"/>
            <w:noWrap/>
            <w:vAlign w:val="bottom"/>
            <w:hideMark/>
          </w:tcPr>
          <w:p w14:paraId="4450D8E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5,477 </w:t>
            </w:r>
          </w:p>
        </w:tc>
        <w:tc>
          <w:tcPr>
            <w:tcW w:w="1638" w:type="dxa"/>
            <w:tcBorders>
              <w:top w:val="nil"/>
              <w:left w:val="nil"/>
              <w:bottom w:val="single" w:sz="4" w:space="0" w:color="auto"/>
              <w:right w:val="single" w:sz="4" w:space="0" w:color="auto"/>
            </w:tcBorders>
            <w:shd w:val="clear" w:color="auto" w:fill="auto"/>
            <w:noWrap/>
            <w:vAlign w:val="bottom"/>
            <w:hideMark/>
          </w:tcPr>
          <w:p w14:paraId="6C9F030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11,259 </w:t>
            </w:r>
          </w:p>
        </w:tc>
      </w:tr>
      <w:tr w:rsidR="006038DD" w:rsidRPr="006038DD" w14:paraId="3BA8AC57"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7457D74D"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Chronic Hepatitis B (negative)</w:t>
            </w:r>
          </w:p>
        </w:tc>
        <w:tc>
          <w:tcPr>
            <w:tcW w:w="1376" w:type="dxa"/>
            <w:tcBorders>
              <w:top w:val="nil"/>
              <w:left w:val="nil"/>
              <w:bottom w:val="single" w:sz="4" w:space="0" w:color="auto"/>
              <w:right w:val="single" w:sz="4" w:space="0" w:color="auto"/>
            </w:tcBorders>
            <w:shd w:val="clear" w:color="auto" w:fill="auto"/>
            <w:noWrap/>
            <w:vAlign w:val="bottom"/>
            <w:hideMark/>
          </w:tcPr>
          <w:p w14:paraId="68EB919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20,984 </w:t>
            </w:r>
          </w:p>
        </w:tc>
        <w:tc>
          <w:tcPr>
            <w:tcW w:w="1750" w:type="dxa"/>
            <w:tcBorders>
              <w:top w:val="nil"/>
              <w:left w:val="nil"/>
              <w:bottom w:val="single" w:sz="4" w:space="0" w:color="auto"/>
              <w:right w:val="single" w:sz="4" w:space="0" w:color="auto"/>
            </w:tcBorders>
            <w:shd w:val="clear" w:color="auto" w:fill="auto"/>
            <w:noWrap/>
            <w:vAlign w:val="bottom"/>
            <w:hideMark/>
          </w:tcPr>
          <w:p w14:paraId="303E42E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31,036 </w:t>
            </w:r>
          </w:p>
        </w:tc>
        <w:tc>
          <w:tcPr>
            <w:tcW w:w="1638" w:type="dxa"/>
            <w:tcBorders>
              <w:top w:val="nil"/>
              <w:left w:val="nil"/>
              <w:bottom w:val="single" w:sz="4" w:space="0" w:color="auto"/>
              <w:right w:val="single" w:sz="4" w:space="0" w:color="auto"/>
            </w:tcBorders>
            <w:shd w:val="clear" w:color="auto" w:fill="auto"/>
            <w:noWrap/>
            <w:vAlign w:val="bottom"/>
            <w:hideMark/>
          </w:tcPr>
          <w:p w14:paraId="5F9A407C"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63,802 </w:t>
            </w:r>
          </w:p>
        </w:tc>
      </w:tr>
      <w:tr w:rsidR="006038DD" w:rsidRPr="006038DD" w14:paraId="5CAF6E14"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50E85088"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HCC cases</w:t>
            </w:r>
          </w:p>
        </w:tc>
        <w:tc>
          <w:tcPr>
            <w:tcW w:w="1376" w:type="dxa"/>
            <w:tcBorders>
              <w:top w:val="nil"/>
              <w:left w:val="nil"/>
              <w:bottom w:val="single" w:sz="4" w:space="0" w:color="auto"/>
              <w:right w:val="single" w:sz="4" w:space="0" w:color="auto"/>
            </w:tcBorders>
            <w:shd w:val="clear" w:color="auto" w:fill="auto"/>
            <w:noWrap/>
            <w:vAlign w:val="bottom"/>
            <w:hideMark/>
          </w:tcPr>
          <w:p w14:paraId="7B6663D2"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960 </w:t>
            </w:r>
          </w:p>
        </w:tc>
        <w:tc>
          <w:tcPr>
            <w:tcW w:w="1750" w:type="dxa"/>
            <w:tcBorders>
              <w:top w:val="nil"/>
              <w:left w:val="nil"/>
              <w:bottom w:val="single" w:sz="4" w:space="0" w:color="auto"/>
              <w:right w:val="single" w:sz="4" w:space="0" w:color="auto"/>
            </w:tcBorders>
            <w:shd w:val="clear" w:color="auto" w:fill="auto"/>
            <w:noWrap/>
            <w:vAlign w:val="bottom"/>
            <w:hideMark/>
          </w:tcPr>
          <w:p w14:paraId="22105724"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1,420 </w:t>
            </w:r>
          </w:p>
        </w:tc>
        <w:tc>
          <w:tcPr>
            <w:tcW w:w="1638" w:type="dxa"/>
            <w:tcBorders>
              <w:top w:val="nil"/>
              <w:left w:val="nil"/>
              <w:bottom w:val="single" w:sz="4" w:space="0" w:color="auto"/>
              <w:right w:val="single" w:sz="4" w:space="0" w:color="auto"/>
            </w:tcBorders>
            <w:shd w:val="clear" w:color="auto" w:fill="auto"/>
            <w:noWrap/>
            <w:vAlign w:val="bottom"/>
            <w:hideMark/>
          </w:tcPr>
          <w:p w14:paraId="67EBD0A0"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2,919 </w:t>
            </w:r>
          </w:p>
        </w:tc>
      </w:tr>
      <w:tr w:rsidR="006038DD" w:rsidRPr="006038DD" w14:paraId="4FF42D0B"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511EDAF1"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Deaths from HCC Cases</w:t>
            </w:r>
          </w:p>
        </w:tc>
        <w:tc>
          <w:tcPr>
            <w:tcW w:w="1376" w:type="dxa"/>
            <w:tcBorders>
              <w:top w:val="nil"/>
              <w:left w:val="nil"/>
              <w:bottom w:val="single" w:sz="4" w:space="0" w:color="auto"/>
              <w:right w:val="single" w:sz="4" w:space="0" w:color="auto"/>
            </w:tcBorders>
            <w:shd w:val="clear" w:color="auto" w:fill="auto"/>
            <w:noWrap/>
            <w:vAlign w:val="bottom"/>
            <w:hideMark/>
          </w:tcPr>
          <w:p w14:paraId="27C23C0C"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960 </w:t>
            </w:r>
          </w:p>
        </w:tc>
        <w:tc>
          <w:tcPr>
            <w:tcW w:w="1750" w:type="dxa"/>
            <w:tcBorders>
              <w:top w:val="nil"/>
              <w:left w:val="nil"/>
              <w:bottom w:val="single" w:sz="4" w:space="0" w:color="auto"/>
              <w:right w:val="single" w:sz="4" w:space="0" w:color="auto"/>
            </w:tcBorders>
            <w:shd w:val="clear" w:color="auto" w:fill="auto"/>
            <w:noWrap/>
            <w:vAlign w:val="bottom"/>
            <w:hideMark/>
          </w:tcPr>
          <w:p w14:paraId="618672CC"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1,420 </w:t>
            </w:r>
          </w:p>
        </w:tc>
        <w:tc>
          <w:tcPr>
            <w:tcW w:w="1638" w:type="dxa"/>
            <w:tcBorders>
              <w:top w:val="nil"/>
              <w:left w:val="nil"/>
              <w:bottom w:val="single" w:sz="4" w:space="0" w:color="auto"/>
              <w:right w:val="single" w:sz="4" w:space="0" w:color="auto"/>
            </w:tcBorders>
            <w:shd w:val="clear" w:color="auto" w:fill="auto"/>
            <w:noWrap/>
            <w:vAlign w:val="bottom"/>
            <w:hideMark/>
          </w:tcPr>
          <w:p w14:paraId="7DEEDF29"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2,919 </w:t>
            </w:r>
          </w:p>
        </w:tc>
      </w:tr>
      <w:tr w:rsidR="006038DD" w:rsidRPr="006038DD" w14:paraId="7AD38757"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6570D04B" w14:textId="77777777" w:rsidR="006038DD" w:rsidRPr="006038DD" w:rsidRDefault="006038DD" w:rsidP="006038DD">
            <w:pPr>
              <w:spacing w:after="0" w:line="240" w:lineRule="auto"/>
              <w:ind w:left="0" w:firstLine="0"/>
              <w:rPr>
                <w:rFonts w:ascii="Calibri" w:hAnsi="Calibri"/>
              </w:rPr>
            </w:pPr>
            <w:r w:rsidRPr="006038DD">
              <w:rPr>
                <w:rFonts w:ascii="Calibri" w:hAnsi="Calibri"/>
              </w:rPr>
              <w:t>In-patient Costs (in US$) for 7 days</w:t>
            </w:r>
          </w:p>
        </w:tc>
        <w:tc>
          <w:tcPr>
            <w:tcW w:w="1376" w:type="dxa"/>
            <w:tcBorders>
              <w:top w:val="nil"/>
              <w:left w:val="nil"/>
              <w:bottom w:val="single" w:sz="4" w:space="0" w:color="auto"/>
              <w:right w:val="single" w:sz="4" w:space="0" w:color="auto"/>
            </w:tcBorders>
            <w:shd w:val="clear" w:color="auto" w:fill="auto"/>
            <w:noWrap/>
            <w:vAlign w:val="bottom"/>
            <w:hideMark/>
          </w:tcPr>
          <w:p w14:paraId="33F3AA29"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1,734,729 </w:t>
            </w:r>
          </w:p>
        </w:tc>
        <w:tc>
          <w:tcPr>
            <w:tcW w:w="1750" w:type="dxa"/>
            <w:tcBorders>
              <w:top w:val="nil"/>
              <w:left w:val="nil"/>
              <w:bottom w:val="single" w:sz="4" w:space="0" w:color="auto"/>
              <w:right w:val="single" w:sz="4" w:space="0" w:color="auto"/>
            </w:tcBorders>
            <w:shd w:val="clear" w:color="auto" w:fill="auto"/>
            <w:noWrap/>
            <w:vAlign w:val="bottom"/>
            <w:hideMark/>
          </w:tcPr>
          <w:p w14:paraId="25D3A35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2,565,677 </w:t>
            </w:r>
          </w:p>
        </w:tc>
        <w:tc>
          <w:tcPr>
            <w:tcW w:w="1638" w:type="dxa"/>
            <w:tcBorders>
              <w:top w:val="nil"/>
              <w:left w:val="nil"/>
              <w:bottom w:val="single" w:sz="4" w:space="0" w:color="auto"/>
              <w:right w:val="single" w:sz="4" w:space="0" w:color="auto"/>
            </w:tcBorders>
            <w:shd w:val="clear" w:color="auto" w:fill="auto"/>
            <w:noWrap/>
            <w:vAlign w:val="bottom"/>
            <w:hideMark/>
          </w:tcPr>
          <w:p w14:paraId="432EF0AA"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5,274,349 </w:t>
            </w:r>
          </w:p>
        </w:tc>
      </w:tr>
      <w:tr w:rsidR="006038DD" w:rsidRPr="006038DD" w14:paraId="56C836F8"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1FFC0FCA" w14:textId="77777777" w:rsidR="006038DD" w:rsidRPr="006038DD" w:rsidRDefault="006038DD" w:rsidP="006038DD">
            <w:pPr>
              <w:spacing w:after="0" w:line="240" w:lineRule="auto"/>
              <w:ind w:left="0" w:firstLine="0"/>
              <w:rPr>
                <w:rFonts w:ascii="Calibri" w:hAnsi="Calibri"/>
              </w:rPr>
            </w:pPr>
            <w:r w:rsidRPr="006038DD">
              <w:rPr>
                <w:rFonts w:ascii="Calibri" w:hAnsi="Calibri"/>
              </w:rPr>
              <w:t>Out-patient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23F6838A"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772,324 </w:t>
            </w:r>
          </w:p>
        </w:tc>
        <w:tc>
          <w:tcPr>
            <w:tcW w:w="1750" w:type="dxa"/>
            <w:tcBorders>
              <w:top w:val="nil"/>
              <w:left w:val="nil"/>
              <w:bottom w:val="single" w:sz="4" w:space="0" w:color="auto"/>
              <w:right w:val="single" w:sz="4" w:space="0" w:color="auto"/>
            </w:tcBorders>
            <w:shd w:val="clear" w:color="auto" w:fill="auto"/>
            <w:noWrap/>
            <w:vAlign w:val="bottom"/>
            <w:hideMark/>
          </w:tcPr>
          <w:p w14:paraId="4320FFBA"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1,142,273 </w:t>
            </w:r>
          </w:p>
        </w:tc>
        <w:tc>
          <w:tcPr>
            <w:tcW w:w="1638" w:type="dxa"/>
            <w:tcBorders>
              <w:top w:val="nil"/>
              <w:left w:val="nil"/>
              <w:bottom w:val="single" w:sz="4" w:space="0" w:color="auto"/>
              <w:right w:val="single" w:sz="4" w:space="0" w:color="auto"/>
            </w:tcBorders>
            <w:shd w:val="clear" w:color="auto" w:fill="auto"/>
            <w:noWrap/>
            <w:vAlign w:val="bottom"/>
            <w:hideMark/>
          </w:tcPr>
          <w:p w14:paraId="63FF5E0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2,348,208 </w:t>
            </w:r>
          </w:p>
        </w:tc>
      </w:tr>
      <w:tr w:rsidR="006038DD" w:rsidRPr="006038DD" w14:paraId="2D2DE1E6"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59F1B9E9" w14:textId="77777777" w:rsidR="006038DD" w:rsidRPr="006038DD" w:rsidRDefault="006038DD" w:rsidP="006038DD">
            <w:pPr>
              <w:spacing w:after="0" w:line="240" w:lineRule="auto"/>
              <w:ind w:left="0" w:firstLine="0"/>
              <w:rPr>
                <w:rFonts w:ascii="Calibri" w:hAnsi="Calibri"/>
              </w:rPr>
            </w:pPr>
            <w:r w:rsidRPr="006038DD">
              <w:rPr>
                <w:rFonts w:ascii="Calibri" w:hAnsi="Calibri"/>
              </w:rPr>
              <w:t>Prescription Drugs'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2975F61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46,289 </w:t>
            </w:r>
          </w:p>
        </w:tc>
        <w:tc>
          <w:tcPr>
            <w:tcW w:w="1750" w:type="dxa"/>
            <w:tcBorders>
              <w:top w:val="nil"/>
              <w:left w:val="nil"/>
              <w:bottom w:val="single" w:sz="4" w:space="0" w:color="auto"/>
              <w:right w:val="single" w:sz="4" w:space="0" w:color="auto"/>
            </w:tcBorders>
            <w:shd w:val="clear" w:color="auto" w:fill="auto"/>
            <w:noWrap/>
            <w:vAlign w:val="bottom"/>
            <w:hideMark/>
          </w:tcPr>
          <w:p w14:paraId="2D6F818A"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68,462 </w:t>
            </w:r>
          </w:p>
        </w:tc>
        <w:tc>
          <w:tcPr>
            <w:tcW w:w="1638" w:type="dxa"/>
            <w:tcBorders>
              <w:top w:val="nil"/>
              <w:left w:val="nil"/>
              <w:bottom w:val="single" w:sz="4" w:space="0" w:color="auto"/>
              <w:right w:val="single" w:sz="4" w:space="0" w:color="auto"/>
            </w:tcBorders>
            <w:shd w:val="clear" w:color="auto" w:fill="auto"/>
            <w:noWrap/>
            <w:vAlign w:val="bottom"/>
            <w:hideMark/>
          </w:tcPr>
          <w:p w14:paraId="29C95E2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140,739 </w:t>
            </w:r>
          </w:p>
        </w:tc>
      </w:tr>
      <w:tr w:rsidR="006038DD" w:rsidRPr="006038DD" w14:paraId="0384E683"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54400554"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Medical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37193A03"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2,553,342 </w:t>
            </w:r>
          </w:p>
        </w:tc>
        <w:tc>
          <w:tcPr>
            <w:tcW w:w="1750" w:type="dxa"/>
            <w:tcBorders>
              <w:top w:val="nil"/>
              <w:left w:val="nil"/>
              <w:bottom w:val="single" w:sz="4" w:space="0" w:color="auto"/>
              <w:right w:val="single" w:sz="4" w:space="0" w:color="auto"/>
            </w:tcBorders>
            <w:shd w:val="clear" w:color="auto" w:fill="auto"/>
            <w:noWrap/>
            <w:vAlign w:val="bottom"/>
            <w:hideMark/>
          </w:tcPr>
          <w:p w14:paraId="5DD35E6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3,776,412 </w:t>
            </w:r>
          </w:p>
        </w:tc>
        <w:tc>
          <w:tcPr>
            <w:tcW w:w="1638" w:type="dxa"/>
            <w:tcBorders>
              <w:top w:val="nil"/>
              <w:left w:val="nil"/>
              <w:bottom w:val="single" w:sz="4" w:space="0" w:color="auto"/>
              <w:right w:val="single" w:sz="4" w:space="0" w:color="auto"/>
            </w:tcBorders>
            <w:shd w:val="clear" w:color="auto" w:fill="auto"/>
            <w:noWrap/>
            <w:vAlign w:val="bottom"/>
            <w:hideMark/>
          </w:tcPr>
          <w:p w14:paraId="10D9830B"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7,763,297 </w:t>
            </w:r>
          </w:p>
        </w:tc>
      </w:tr>
      <w:tr w:rsidR="006038DD" w:rsidRPr="006038DD" w14:paraId="4E24AE9E"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1C8BD4D5"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Caregiver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3B70AD6C"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207,375 </w:t>
            </w:r>
          </w:p>
        </w:tc>
        <w:tc>
          <w:tcPr>
            <w:tcW w:w="1750" w:type="dxa"/>
            <w:tcBorders>
              <w:top w:val="nil"/>
              <w:left w:val="nil"/>
              <w:bottom w:val="single" w:sz="4" w:space="0" w:color="auto"/>
              <w:right w:val="single" w:sz="4" w:space="0" w:color="auto"/>
            </w:tcBorders>
            <w:shd w:val="clear" w:color="auto" w:fill="auto"/>
            <w:noWrap/>
            <w:vAlign w:val="bottom"/>
            <w:hideMark/>
          </w:tcPr>
          <w:p w14:paraId="6CB9CAF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306,709 </w:t>
            </w:r>
          </w:p>
        </w:tc>
        <w:tc>
          <w:tcPr>
            <w:tcW w:w="1638" w:type="dxa"/>
            <w:tcBorders>
              <w:top w:val="nil"/>
              <w:left w:val="nil"/>
              <w:bottom w:val="single" w:sz="4" w:space="0" w:color="auto"/>
              <w:right w:val="single" w:sz="4" w:space="0" w:color="auto"/>
            </w:tcBorders>
            <w:shd w:val="clear" w:color="auto" w:fill="auto"/>
            <w:noWrap/>
            <w:vAlign w:val="bottom"/>
            <w:hideMark/>
          </w:tcPr>
          <w:p w14:paraId="2EAD6C6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630,512 </w:t>
            </w:r>
          </w:p>
        </w:tc>
      </w:tr>
      <w:tr w:rsidR="006038DD" w:rsidRPr="006038DD" w14:paraId="66AA795A"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704BBF42"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Transportation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24F53B5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55,547 </w:t>
            </w:r>
          </w:p>
        </w:tc>
        <w:tc>
          <w:tcPr>
            <w:tcW w:w="1750" w:type="dxa"/>
            <w:tcBorders>
              <w:top w:val="nil"/>
              <w:left w:val="nil"/>
              <w:bottom w:val="single" w:sz="4" w:space="0" w:color="auto"/>
              <w:right w:val="single" w:sz="4" w:space="0" w:color="auto"/>
            </w:tcBorders>
            <w:shd w:val="clear" w:color="auto" w:fill="auto"/>
            <w:noWrap/>
            <w:vAlign w:val="bottom"/>
            <w:hideMark/>
          </w:tcPr>
          <w:p w14:paraId="6EF255E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82,154 </w:t>
            </w:r>
          </w:p>
        </w:tc>
        <w:tc>
          <w:tcPr>
            <w:tcW w:w="1638" w:type="dxa"/>
            <w:tcBorders>
              <w:top w:val="nil"/>
              <w:left w:val="nil"/>
              <w:bottom w:val="single" w:sz="4" w:space="0" w:color="auto"/>
              <w:right w:val="single" w:sz="4" w:space="0" w:color="auto"/>
            </w:tcBorders>
            <w:shd w:val="clear" w:color="auto" w:fill="auto"/>
            <w:noWrap/>
            <w:vAlign w:val="bottom"/>
            <w:hideMark/>
          </w:tcPr>
          <w:p w14:paraId="61D5EB2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168,887 </w:t>
            </w:r>
          </w:p>
        </w:tc>
      </w:tr>
      <w:tr w:rsidR="006038DD" w:rsidRPr="006038DD" w14:paraId="33133139"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34FE5128"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Costs of Alternative Medicine-CAM- (in US$)</w:t>
            </w:r>
          </w:p>
        </w:tc>
        <w:tc>
          <w:tcPr>
            <w:tcW w:w="1376" w:type="dxa"/>
            <w:tcBorders>
              <w:top w:val="nil"/>
              <w:left w:val="nil"/>
              <w:bottom w:val="single" w:sz="4" w:space="0" w:color="auto"/>
              <w:right w:val="single" w:sz="4" w:space="0" w:color="auto"/>
            </w:tcBorders>
            <w:shd w:val="clear" w:color="auto" w:fill="auto"/>
            <w:noWrap/>
            <w:vAlign w:val="bottom"/>
            <w:hideMark/>
          </w:tcPr>
          <w:p w14:paraId="1B7C2EBF"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112,945 </w:t>
            </w:r>
          </w:p>
        </w:tc>
        <w:tc>
          <w:tcPr>
            <w:tcW w:w="1750" w:type="dxa"/>
            <w:tcBorders>
              <w:top w:val="nil"/>
              <w:left w:val="nil"/>
              <w:bottom w:val="single" w:sz="4" w:space="0" w:color="auto"/>
              <w:right w:val="single" w:sz="4" w:space="0" w:color="auto"/>
            </w:tcBorders>
            <w:shd w:val="clear" w:color="auto" w:fill="auto"/>
            <w:noWrap/>
            <w:vAlign w:val="bottom"/>
            <w:hideMark/>
          </w:tcPr>
          <w:p w14:paraId="061A063E"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167,047 </w:t>
            </w:r>
          </w:p>
        </w:tc>
        <w:tc>
          <w:tcPr>
            <w:tcW w:w="1638" w:type="dxa"/>
            <w:tcBorders>
              <w:top w:val="nil"/>
              <w:left w:val="nil"/>
              <w:bottom w:val="single" w:sz="4" w:space="0" w:color="auto"/>
              <w:right w:val="single" w:sz="4" w:space="0" w:color="auto"/>
            </w:tcBorders>
            <w:shd w:val="clear" w:color="auto" w:fill="auto"/>
            <w:noWrap/>
            <w:vAlign w:val="bottom"/>
            <w:hideMark/>
          </w:tcPr>
          <w:p w14:paraId="2F6E3C7C"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343,404 </w:t>
            </w:r>
          </w:p>
        </w:tc>
      </w:tr>
      <w:tr w:rsidR="006038DD" w:rsidRPr="006038DD" w14:paraId="769CEE85"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025418D3"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Non-medical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6F49043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375,867 </w:t>
            </w:r>
          </w:p>
        </w:tc>
        <w:tc>
          <w:tcPr>
            <w:tcW w:w="1750" w:type="dxa"/>
            <w:tcBorders>
              <w:top w:val="nil"/>
              <w:left w:val="nil"/>
              <w:bottom w:val="single" w:sz="4" w:space="0" w:color="auto"/>
              <w:right w:val="single" w:sz="4" w:space="0" w:color="auto"/>
            </w:tcBorders>
            <w:shd w:val="clear" w:color="auto" w:fill="auto"/>
            <w:noWrap/>
            <w:vAlign w:val="bottom"/>
            <w:hideMark/>
          </w:tcPr>
          <w:p w14:paraId="5F334FE1"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555,910 </w:t>
            </w:r>
          </w:p>
        </w:tc>
        <w:tc>
          <w:tcPr>
            <w:tcW w:w="1638" w:type="dxa"/>
            <w:tcBorders>
              <w:top w:val="nil"/>
              <w:left w:val="nil"/>
              <w:bottom w:val="single" w:sz="4" w:space="0" w:color="auto"/>
              <w:right w:val="single" w:sz="4" w:space="0" w:color="auto"/>
            </w:tcBorders>
            <w:shd w:val="clear" w:color="auto" w:fill="auto"/>
            <w:noWrap/>
            <w:vAlign w:val="bottom"/>
            <w:hideMark/>
          </w:tcPr>
          <w:p w14:paraId="4E8C476D"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1,142,804 </w:t>
            </w:r>
          </w:p>
        </w:tc>
      </w:tr>
      <w:tr w:rsidR="006038DD" w:rsidRPr="006038DD" w14:paraId="16C93AAA"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7D7760EB"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Cost-of-Illness Costs (in US$)</w:t>
            </w:r>
          </w:p>
        </w:tc>
        <w:tc>
          <w:tcPr>
            <w:tcW w:w="1376" w:type="dxa"/>
            <w:tcBorders>
              <w:top w:val="nil"/>
              <w:left w:val="nil"/>
              <w:bottom w:val="single" w:sz="4" w:space="0" w:color="auto"/>
              <w:right w:val="single" w:sz="4" w:space="0" w:color="auto"/>
            </w:tcBorders>
            <w:shd w:val="clear" w:color="auto" w:fill="auto"/>
            <w:noWrap/>
            <w:vAlign w:val="bottom"/>
            <w:hideMark/>
          </w:tcPr>
          <w:p w14:paraId="67CE1A4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w:t>
            </w:r>
            <w:r w:rsidRPr="006038DD">
              <w:rPr>
                <w:rFonts w:ascii="Calibri" w:hAnsi="Calibri"/>
                <w:b/>
                <w:bCs/>
              </w:rPr>
              <w:lastRenderedPageBreak/>
              <w:t xml:space="preserve">2,929,209 </w:t>
            </w:r>
          </w:p>
        </w:tc>
        <w:tc>
          <w:tcPr>
            <w:tcW w:w="1750" w:type="dxa"/>
            <w:tcBorders>
              <w:top w:val="nil"/>
              <w:left w:val="nil"/>
              <w:bottom w:val="single" w:sz="4" w:space="0" w:color="auto"/>
              <w:right w:val="single" w:sz="4" w:space="0" w:color="auto"/>
            </w:tcBorders>
            <w:shd w:val="clear" w:color="auto" w:fill="auto"/>
            <w:noWrap/>
            <w:vAlign w:val="bottom"/>
            <w:hideMark/>
          </w:tcPr>
          <w:p w14:paraId="68D2AF7E"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lastRenderedPageBreak/>
              <w:t xml:space="preserve">                </w:t>
            </w:r>
            <w:r w:rsidRPr="006038DD">
              <w:rPr>
                <w:rFonts w:ascii="Calibri" w:hAnsi="Calibri"/>
                <w:b/>
                <w:bCs/>
              </w:rPr>
              <w:lastRenderedPageBreak/>
              <w:t xml:space="preserve">4,332,322 </w:t>
            </w:r>
          </w:p>
        </w:tc>
        <w:tc>
          <w:tcPr>
            <w:tcW w:w="1638" w:type="dxa"/>
            <w:tcBorders>
              <w:top w:val="nil"/>
              <w:left w:val="nil"/>
              <w:bottom w:val="single" w:sz="4" w:space="0" w:color="auto"/>
              <w:right w:val="single" w:sz="4" w:space="0" w:color="auto"/>
            </w:tcBorders>
            <w:shd w:val="clear" w:color="auto" w:fill="auto"/>
            <w:noWrap/>
            <w:vAlign w:val="bottom"/>
            <w:hideMark/>
          </w:tcPr>
          <w:p w14:paraId="75A35A39"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lastRenderedPageBreak/>
              <w:t xml:space="preserve">              </w:t>
            </w:r>
            <w:r w:rsidRPr="006038DD">
              <w:rPr>
                <w:rFonts w:ascii="Calibri" w:hAnsi="Calibri"/>
                <w:b/>
                <w:bCs/>
              </w:rPr>
              <w:lastRenderedPageBreak/>
              <w:t xml:space="preserve">8,906,100 </w:t>
            </w:r>
          </w:p>
        </w:tc>
      </w:tr>
      <w:tr w:rsidR="006038DD" w:rsidRPr="006038DD" w14:paraId="586774E3" w14:textId="77777777" w:rsidTr="006038DD">
        <w:trPr>
          <w:trHeight w:val="300"/>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14:paraId="40DC4C4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lastRenderedPageBreak/>
              <w:t>Total Economic Loss (in US$)</w:t>
            </w:r>
          </w:p>
        </w:tc>
        <w:tc>
          <w:tcPr>
            <w:tcW w:w="1376" w:type="dxa"/>
            <w:tcBorders>
              <w:top w:val="nil"/>
              <w:left w:val="nil"/>
              <w:bottom w:val="single" w:sz="4" w:space="0" w:color="auto"/>
              <w:right w:val="single" w:sz="4" w:space="0" w:color="auto"/>
            </w:tcBorders>
            <w:shd w:val="clear" w:color="auto" w:fill="auto"/>
            <w:noWrap/>
            <w:vAlign w:val="bottom"/>
            <w:hideMark/>
          </w:tcPr>
          <w:p w14:paraId="5E66DBF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24,884,156 </w:t>
            </w:r>
          </w:p>
        </w:tc>
        <w:tc>
          <w:tcPr>
            <w:tcW w:w="1750" w:type="dxa"/>
            <w:tcBorders>
              <w:top w:val="nil"/>
              <w:left w:val="nil"/>
              <w:bottom w:val="single" w:sz="4" w:space="0" w:color="auto"/>
              <w:right w:val="single" w:sz="4" w:space="0" w:color="auto"/>
            </w:tcBorders>
            <w:shd w:val="clear" w:color="auto" w:fill="auto"/>
            <w:noWrap/>
            <w:vAlign w:val="bottom"/>
            <w:hideMark/>
          </w:tcPr>
          <w:p w14:paraId="2B1177F6"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36,803,855 </w:t>
            </w:r>
          </w:p>
        </w:tc>
        <w:tc>
          <w:tcPr>
            <w:tcW w:w="1638" w:type="dxa"/>
            <w:tcBorders>
              <w:top w:val="nil"/>
              <w:left w:val="nil"/>
              <w:bottom w:val="single" w:sz="4" w:space="0" w:color="auto"/>
              <w:right w:val="single" w:sz="4" w:space="0" w:color="auto"/>
            </w:tcBorders>
            <w:shd w:val="clear" w:color="auto" w:fill="auto"/>
            <w:noWrap/>
            <w:vAlign w:val="bottom"/>
            <w:hideMark/>
          </w:tcPr>
          <w:p w14:paraId="5833DB0D"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75,658,921 </w:t>
            </w:r>
          </w:p>
        </w:tc>
      </w:tr>
    </w:tbl>
    <w:p w14:paraId="4295D29E" w14:textId="77777777" w:rsidR="006038DD" w:rsidRDefault="006038DD" w:rsidP="006118BB">
      <w:pPr>
        <w:spacing w:after="0" w:line="480" w:lineRule="auto"/>
        <w:jc w:val="both"/>
      </w:pPr>
    </w:p>
    <w:p w14:paraId="2D5F6367" w14:textId="77777777" w:rsidR="00D55256" w:rsidRDefault="00D55256" w:rsidP="00D55256">
      <w:pPr>
        <w:jc w:val="center"/>
      </w:pPr>
    </w:p>
    <w:p w14:paraId="66C31C48" w14:textId="3140C20C" w:rsidR="00F85176" w:rsidRDefault="00F85176" w:rsidP="00F85176">
      <w:pPr>
        <w:spacing w:line="360" w:lineRule="auto"/>
        <w:ind w:left="-6" w:hanging="11"/>
        <w:jc w:val="both"/>
      </w:pPr>
      <w:r>
        <w:t xml:space="preserve">For the </w:t>
      </w:r>
      <w:r w:rsidR="000826A5">
        <w:t xml:space="preserve">adult </w:t>
      </w:r>
      <w:r>
        <w:t xml:space="preserve">males, the population modelled in this study had a median of </w:t>
      </w:r>
      <w:r w:rsidR="00AF30F1">
        <w:t xml:space="preserve">36,474 . </w:t>
      </w:r>
      <w:r>
        <w:t xml:space="preserve"> From a median of </w:t>
      </w:r>
      <w:r w:rsidR="00AF30F1">
        <w:t xml:space="preserve">5,471 </w:t>
      </w:r>
      <w:r>
        <w:t>cases of chronic Hepatitis B (</w:t>
      </w:r>
      <w:r w:rsidRPr="001C0E90">
        <w:t>positive)</w:t>
      </w:r>
      <w:r w:rsidR="00C42049">
        <w:t>,</w:t>
      </w:r>
      <w:r w:rsidRPr="001C0E90">
        <w:t xml:space="preserve"> </w:t>
      </w:r>
      <w:r>
        <w:t>1</w:t>
      </w:r>
      <w:r w:rsidR="00AF30F1">
        <w:t xml:space="preserve">,419 </w:t>
      </w:r>
      <w:r w:rsidRPr="001C0E90">
        <w:t xml:space="preserve">will develop HCC and result to death within the year. From this, morbidity and mortality a total of </w:t>
      </w:r>
      <w:r w:rsidR="00AF30F1">
        <w:t>73</w:t>
      </w:r>
      <w:r w:rsidR="000826A5">
        <w:t>,</w:t>
      </w:r>
      <w:r w:rsidR="00AF30F1">
        <w:t>236</w:t>
      </w:r>
      <w:r w:rsidRPr="001C0E90">
        <w:t xml:space="preserve"> DALYs (discounted at 3%) would be lost equivalent to a loss of</w:t>
      </w:r>
      <w:r w:rsidRPr="00F85176">
        <w:t xml:space="preserve"> US$ </w:t>
      </w:r>
      <w:r w:rsidR="000826A5" w:rsidRPr="006038DD">
        <w:rPr>
          <w:rFonts w:ascii="Calibri" w:hAnsi="Calibri"/>
          <w:b/>
          <w:bCs/>
        </w:rPr>
        <w:t>36,764,545</w:t>
      </w:r>
      <w:r w:rsidR="000826A5">
        <w:rPr>
          <w:rFonts w:ascii="Calibri" w:hAnsi="Calibri"/>
          <w:b/>
          <w:bCs/>
        </w:rPr>
        <w:t xml:space="preserve"> </w:t>
      </w:r>
      <w:r w:rsidR="000826A5">
        <w:t>wo</w:t>
      </w:r>
      <w:r w:rsidRPr="001C0E90">
        <w:t>rth of GDP</w:t>
      </w:r>
      <w:r>
        <w:t>. Total medical cost for</w:t>
      </w:r>
      <w:r w:rsidR="000826A5">
        <w:t xml:space="preserve"> adult</w:t>
      </w:r>
      <w:r>
        <w:t xml:space="preserve"> males amount</w:t>
      </w:r>
      <w:r w:rsidR="000826A5">
        <w:t>s</w:t>
      </w:r>
      <w:r>
        <w:t xml:space="preserve"> to a median of US$ </w:t>
      </w:r>
      <w:r w:rsidR="000826A5">
        <w:t xml:space="preserve">594,326 </w:t>
      </w:r>
      <w:r>
        <w:t xml:space="preserve">while non-medical </w:t>
      </w:r>
      <w:r w:rsidR="000826A5">
        <w:t>is</w:t>
      </w:r>
      <w:r>
        <w:t xml:space="preserve"> US$ </w:t>
      </w:r>
      <w:r w:rsidR="000826A5">
        <w:t>64,684. W</w:t>
      </w:r>
      <w:r w:rsidR="00B36A91">
        <w:t>hile the incidence of HCC is higher in men, the value of the DALY is higher for females given their longer lifespan</w:t>
      </w:r>
      <w:r w:rsidR="00B36A91">
        <w:rPr>
          <w:rStyle w:val="FootnoteReference"/>
        </w:rPr>
        <w:footnoteReference w:id="4"/>
      </w:r>
      <w:r w:rsidR="00B36A91">
        <w:t>.</w:t>
      </w:r>
    </w:p>
    <w:p w14:paraId="49B8DF18" w14:textId="77777777" w:rsidR="00492AEF" w:rsidRDefault="00492AEF" w:rsidP="00492AEF">
      <w:pPr>
        <w:spacing w:line="240" w:lineRule="auto"/>
        <w:ind w:left="-6" w:hanging="11"/>
        <w:jc w:val="both"/>
      </w:pPr>
    </w:p>
    <w:p w14:paraId="2A53AAD3" w14:textId="090AAD7C" w:rsidR="00427F69" w:rsidRDefault="00A70CFC" w:rsidP="00492AEF">
      <w:pPr>
        <w:spacing w:after="0" w:line="480" w:lineRule="auto"/>
        <w:jc w:val="both"/>
      </w:pPr>
      <w:r>
        <w:t>Table 10.</w:t>
      </w:r>
      <w:r w:rsidR="00404E87">
        <w:t xml:space="preserve"> Economic and epidem</w:t>
      </w:r>
      <w:r w:rsidR="00525F35">
        <w:t xml:space="preserve">iological values for males </w:t>
      </w:r>
    </w:p>
    <w:tbl>
      <w:tblPr>
        <w:tblW w:w="9262" w:type="dxa"/>
        <w:tblInd w:w="108" w:type="dxa"/>
        <w:tblLook w:val="04A0" w:firstRow="1" w:lastRow="0" w:firstColumn="1" w:lastColumn="0" w:noHBand="0" w:noVBand="1"/>
      </w:tblPr>
      <w:tblGrid>
        <w:gridCol w:w="4488"/>
        <w:gridCol w:w="1377"/>
        <w:gridCol w:w="1751"/>
        <w:gridCol w:w="1646"/>
      </w:tblGrid>
      <w:tr w:rsidR="006038DD" w:rsidRPr="006038DD" w14:paraId="41499601" w14:textId="77777777" w:rsidTr="006038DD">
        <w:trPr>
          <w:trHeight w:val="300"/>
        </w:trPr>
        <w:tc>
          <w:tcPr>
            <w:tcW w:w="9262"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44DA1EB"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Adult Male Population (15-65+)</w:t>
            </w:r>
          </w:p>
        </w:tc>
      </w:tr>
      <w:tr w:rsidR="006038DD" w:rsidRPr="006038DD" w14:paraId="1B237345" w14:textId="77777777" w:rsidTr="006038DD">
        <w:trPr>
          <w:trHeight w:val="300"/>
        </w:trPr>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71D7" w14:textId="77777777" w:rsidR="006038DD" w:rsidRPr="006038DD" w:rsidRDefault="006038DD" w:rsidP="006038DD">
            <w:pPr>
              <w:spacing w:after="0" w:line="240" w:lineRule="auto"/>
              <w:ind w:left="0" w:firstLine="0"/>
              <w:rPr>
                <w:rFonts w:ascii="Calibri" w:hAnsi="Calibri"/>
              </w:rPr>
            </w:pPr>
            <w:r w:rsidRPr="006038DD">
              <w:rPr>
                <w:rFonts w:ascii="Calibri" w:hAnsi="Calibri"/>
              </w:rPr>
              <w:t> </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5B7817E6"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1st Quartile</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2939C7BF"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Median</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28B0A129" w14:textId="77777777" w:rsidR="006038DD" w:rsidRPr="006038DD" w:rsidRDefault="006038DD" w:rsidP="006038DD">
            <w:pPr>
              <w:spacing w:after="0" w:line="240" w:lineRule="auto"/>
              <w:ind w:left="0" w:firstLine="0"/>
              <w:jc w:val="center"/>
              <w:rPr>
                <w:rFonts w:ascii="Calibri" w:hAnsi="Calibri"/>
                <w:b/>
                <w:bCs/>
              </w:rPr>
            </w:pPr>
            <w:r w:rsidRPr="006038DD">
              <w:rPr>
                <w:rFonts w:ascii="Calibri" w:hAnsi="Calibri"/>
                <w:b/>
                <w:bCs/>
              </w:rPr>
              <w:t>3rd Quartile</w:t>
            </w:r>
          </w:p>
        </w:tc>
      </w:tr>
      <w:tr w:rsidR="006038DD" w:rsidRPr="006038DD" w14:paraId="6CB809C5"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A09DB9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Population</w:t>
            </w:r>
          </w:p>
        </w:tc>
        <w:tc>
          <w:tcPr>
            <w:tcW w:w="1377" w:type="dxa"/>
            <w:tcBorders>
              <w:top w:val="nil"/>
              <w:left w:val="nil"/>
              <w:bottom w:val="single" w:sz="4" w:space="0" w:color="auto"/>
              <w:right w:val="single" w:sz="4" w:space="0" w:color="auto"/>
            </w:tcBorders>
            <w:shd w:val="clear" w:color="auto" w:fill="auto"/>
            <w:noWrap/>
            <w:vAlign w:val="bottom"/>
            <w:hideMark/>
          </w:tcPr>
          <w:p w14:paraId="2739C1D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25,885 </w:t>
            </w:r>
          </w:p>
        </w:tc>
        <w:tc>
          <w:tcPr>
            <w:tcW w:w="1751" w:type="dxa"/>
            <w:tcBorders>
              <w:top w:val="nil"/>
              <w:left w:val="nil"/>
              <w:bottom w:val="single" w:sz="4" w:space="0" w:color="auto"/>
              <w:right w:val="single" w:sz="4" w:space="0" w:color="auto"/>
            </w:tcBorders>
            <w:shd w:val="clear" w:color="auto" w:fill="auto"/>
            <w:noWrap/>
            <w:vAlign w:val="bottom"/>
            <w:hideMark/>
          </w:tcPr>
          <w:p w14:paraId="6DCE1F5B"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36,474 </w:t>
            </w:r>
          </w:p>
        </w:tc>
        <w:tc>
          <w:tcPr>
            <w:tcW w:w="1646" w:type="dxa"/>
            <w:tcBorders>
              <w:top w:val="nil"/>
              <w:left w:val="nil"/>
              <w:bottom w:val="single" w:sz="4" w:space="0" w:color="auto"/>
              <w:right w:val="single" w:sz="4" w:space="0" w:color="auto"/>
            </w:tcBorders>
            <w:shd w:val="clear" w:color="auto" w:fill="auto"/>
            <w:noWrap/>
            <w:vAlign w:val="bottom"/>
            <w:hideMark/>
          </w:tcPr>
          <w:p w14:paraId="1795E67D"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65,626 </w:t>
            </w:r>
          </w:p>
        </w:tc>
      </w:tr>
      <w:tr w:rsidR="006038DD" w:rsidRPr="006038DD" w14:paraId="4045C583"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B5BCBE4"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DALYs*</w:t>
            </w:r>
          </w:p>
        </w:tc>
        <w:tc>
          <w:tcPr>
            <w:tcW w:w="1377" w:type="dxa"/>
            <w:tcBorders>
              <w:top w:val="nil"/>
              <w:left w:val="nil"/>
              <w:bottom w:val="single" w:sz="4" w:space="0" w:color="auto"/>
              <w:right w:val="single" w:sz="4" w:space="0" w:color="auto"/>
            </w:tcBorders>
            <w:shd w:val="clear" w:color="auto" w:fill="auto"/>
            <w:noWrap/>
            <w:vAlign w:val="bottom"/>
            <w:hideMark/>
          </w:tcPr>
          <w:p w14:paraId="3BA9D77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51,973.49 </w:t>
            </w:r>
          </w:p>
        </w:tc>
        <w:tc>
          <w:tcPr>
            <w:tcW w:w="1751" w:type="dxa"/>
            <w:tcBorders>
              <w:top w:val="nil"/>
              <w:left w:val="nil"/>
              <w:bottom w:val="single" w:sz="4" w:space="0" w:color="auto"/>
              <w:right w:val="single" w:sz="4" w:space="0" w:color="auto"/>
            </w:tcBorders>
            <w:shd w:val="clear" w:color="auto" w:fill="auto"/>
            <w:noWrap/>
            <w:vAlign w:val="bottom"/>
            <w:hideMark/>
          </w:tcPr>
          <w:p w14:paraId="7DBB26B9"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73,236 </w:t>
            </w:r>
          </w:p>
        </w:tc>
        <w:tc>
          <w:tcPr>
            <w:tcW w:w="1646" w:type="dxa"/>
            <w:tcBorders>
              <w:top w:val="nil"/>
              <w:left w:val="nil"/>
              <w:bottom w:val="single" w:sz="4" w:space="0" w:color="auto"/>
              <w:right w:val="single" w:sz="4" w:space="0" w:color="auto"/>
            </w:tcBorders>
            <w:shd w:val="clear" w:color="auto" w:fill="auto"/>
            <w:noWrap/>
            <w:vAlign w:val="bottom"/>
            <w:hideMark/>
          </w:tcPr>
          <w:p w14:paraId="0FC98025"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131,770 </w:t>
            </w:r>
          </w:p>
        </w:tc>
      </w:tr>
      <w:tr w:rsidR="006038DD" w:rsidRPr="006038DD" w14:paraId="68034854"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FB703A9"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Monetized DALYs§</w:t>
            </w:r>
          </w:p>
        </w:tc>
        <w:tc>
          <w:tcPr>
            <w:tcW w:w="1377" w:type="dxa"/>
            <w:tcBorders>
              <w:top w:val="nil"/>
              <w:left w:val="nil"/>
              <w:bottom w:val="single" w:sz="4" w:space="0" w:color="auto"/>
              <w:right w:val="single" w:sz="4" w:space="0" w:color="auto"/>
            </w:tcBorders>
            <w:shd w:val="clear" w:color="auto" w:fill="auto"/>
            <w:noWrap/>
            <w:vAlign w:val="bottom"/>
            <w:hideMark/>
          </w:tcPr>
          <w:p w14:paraId="3B1458C4"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26,090,691 </w:t>
            </w:r>
          </w:p>
        </w:tc>
        <w:tc>
          <w:tcPr>
            <w:tcW w:w="1751" w:type="dxa"/>
            <w:tcBorders>
              <w:top w:val="nil"/>
              <w:left w:val="nil"/>
              <w:bottom w:val="single" w:sz="4" w:space="0" w:color="auto"/>
              <w:right w:val="single" w:sz="4" w:space="0" w:color="auto"/>
            </w:tcBorders>
            <w:shd w:val="clear" w:color="auto" w:fill="auto"/>
            <w:noWrap/>
            <w:vAlign w:val="bottom"/>
            <w:hideMark/>
          </w:tcPr>
          <w:p w14:paraId="169E2009"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36,764,545 </w:t>
            </w:r>
          </w:p>
        </w:tc>
        <w:tc>
          <w:tcPr>
            <w:tcW w:w="1646" w:type="dxa"/>
            <w:tcBorders>
              <w:top w:val="nil"/>
              <w:left w:val="nil"/>
              <w:bottom w:val="single" w:sz="4" w:space="0" w:color="auto"/>
              <w:right w:val="single" w:sz="4" w:space="0" w:color="auto"/>
            </w:tcBorders>
            <w:shd w:val="clear" w:color="auto" w:fill="auto"/>
            <w:noWrap/>
            <w:vAlign w:val="bottom"/>
            <w:hideMark/>
          </w:tcPr>
          <w:p w14:paraId="4B3FC206"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66,148,764 </w:t>
            </w:r>
          </w:p>
        </w:tc>
      </w:tr>
      <w:tr w:rsidR="006038DD" w:rsidRPr="006038DD" w14:paraId="3FA642C4"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0FAAAC9"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Chronic Hepatitis B (positive)</w:t>
            </w:r>
          </w:p>
        </w:tc>
        <w:tc>
          <w:tcPr>
            <w:tcW w:w="1377" w:type="dxa"/>
            <w:tcBorders>
              <w:top w:val="nil"/>
              <w:left w:val="nil"/>
              <w:bottom w:val="single" w:sz="4" w:space="0" w:color="auto"/>
              <w:right w:val="single" w:sz="4" w:space="0" w:color="auto"/>
            </w:tcBorders>
            <w:shd w:val="clear" w:color="auto" w:fill="auto"/>
            <w:noWrap/>
            <w:vAlign w:val="bottom"/>
            <w:hideMark/>
          </w:tcPr>
          <w:p w14:paraId="0B76CCEB"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3,883 </w:t>
            </w:r>
          </w:p>
        </w:tc>
        <w:tc>
          <w:tcPr>
            <w:tcW w:w="1751" w:type="dxa"/>
            <w:tcBorders>
              <w:top w:val="nil"/>
              <w:left w:val="nil"/>
              <w:bottom w:val="single" w:sz="4" w:space="0" w:color="auto"/>
              <w:right w:val="single" w:sz="4" w:space="0" w:color="auto"/>
            </w:tcBorders>
            <w:shd w:val="clear" w:color="auto" w:fill="auto"/>
            <w:noWrap/>
            <w:vAlign w:val="bottom"/>
            <w:hideMark/>
          </w:tcPr>
          <w:p w14:paraId="67A01C6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5,471 </w:t>
            </w:r>
          </w:p>
        </w:tc>
        <w:tc>
          <w:tcPr>
            <w:tcW w:w="1646" w:type="dxa"/>
            <w:tcBorders>
              <w:top w:val="nil"/>
              <w:left w:val="nil"/>
              <w:bottom w:val="single" w:sz="4" w:space="0" w:color="auto"/>
              <w:right w:val="single" w:sz="4" w:space="0" w:color="auto"/>
            </w:tcBorders>
            <w:shd w:val="clear" w:color="auto" w:fill="auto"/>
            <w:noWrap/>
            <w:vAlign w:val="bottom"/>
            <w:hideMark/>
          </w:tcPr>
          <w:p w14:paraId="046F5F4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9,844 </w:t>
            </w:r>
          </w:p>
        </w:tc>
      </w:tr>
      <w:tr w:rsidR="006038DD" w:rsidRPr="006038DD" w14:paraId="5B503E0F"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85C203C"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Chronic Hepatitis B (negative)</w:t>
            </w:r>
          </w:p>
        </w:tc>
        <w:tc>
          <w:tcPr>
            <w:tcW w:w="1377" w:type="dxa"/>
            <w:tcBorders>
              <w:top w:val="nil"/>
              <w:left w:val="nil"/>
              <w:bottom w:val="single" w:sz="4" w:space="0" w:color="auto"/>
              <w:right w:val="single" w:sz="4" w:space="0" w:color="auto"/>
            </w:tcBorders>
            <w:shd w:val="clear" w:color="auto" w:fill="auto"/>
            <w:noWrap/>
            <w:vAlign w:val="bottom"/>
            <w:hideMark/>
          </w:tcPr>
          <w:p w14:paraId="314D7F21"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22,002 </w:t>
            </w:r>
          </w:p>
        </w:tc>
        <w:tc>
          <w:tcPr>
            <w:tcW w:w="1751" w:type="dxa"/>
            <w:tcBorders>
              <w:top w:val="nil"/>
              <w:left w:val="nil"/>
              <w:bottom w:val="single" w:sz="4" w:space="0" w:color="auto"/>
              <w:right w:val="single" w:sz="4" w:space="0" w:color="auto"/>
            </w:tcBorders>
            <w:shd w:val="clear" w:color="auto" w:fill="auto"/>
            <w:noWrap/>
            <w:vAlign w:val="bottom"/>
            <w:hideMark/>
          </w:tcPr>
          <w:p w14:paraId="0512ECF5"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31,003 </w:t>
            </w:r>
          </w:p>
        </w:tc>
        <w:tc>
          <w:tcPr>
            <w:tcW w:w="1646" w:type="dxa"/>
            <w:tcBorders>
              <w:top w:val="nil"/>
              <w:left w:val="nil"/>
              <w:bottom w:val="single" w:sz="4" w:space="0" w:color="auto"/>
              <w:right w:val="single" w:sz="4" w:space="0" w:color="auto"/>
            </w:tcBorders>
            <w:shd w:val="clear" w:color="auto" w:fill="auto"/>
            <w:noWrap/>
            <w:vAlign w:val="bottom"/>
            <w:hideMark/>
          </w:tcPr>
          <w:p w14:paraId="42192FEC"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55,782 </w:t>
            </w:r>
          </w:p>
        </w:tc>
      </w:tr>
      <w:tr w:rsidR="006038DD" w:rsidRPr="006038DD" w14:paraId="25A94DB9"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069B0AC"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HCC cases</w:t>
            </w:r>
          </w:p>
        </w:tc>
        <w:tc>
          <w:tcPr>
            <w:tcW w:w="1377" w:type="dxa"/>
            <w:tcBorders>
              <w:top w:val="nil"/>
              <w:left w:val="nil"/>
              <w:bottom w:val="single" w:sz="4" w:space="0" w:color="auto"/>
              <w:right w:val="single" w:sz="4" w:space="0" w:color="auto"/>
            </w:tcBorders>
            <w:shd w:val="clear" w:color="auto" w:fill="auto"/>
            <w:noWrap/>
            <w:vAlign w:val="bottom"/>
            <w:hideMark/>
          </w:tcPr>
          <w:p w14:paraId="61AB8D8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1,007 </w:t>
            </w:r>
          </w:p>
        </w:tc>
        <w:tc>
          <w:tcPr>
            <w:tcW w:w="1751" w:type="dxa"/>
            <w:tcBorders>
              <w:top w:val="nil"/>
              <w:left w:val="nil"/>
              <w:bottom w:val="single" w:sz="4" w:space="0" w:color="auto"/>
              <w:right w:val="single" w:sz="4" w:space="0" w:color="auto"/>
            </w:tcBorders>
            <w:shd w:val="clear" w:color="auto" w:fill="auto"/>
            <w:noWrap/>
            <w:vAlign w:val="bottom"/>
            <w:hideMark/>
          </w:tcPr>
          <w:p w14:paraId="0D62369D"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1,419 </w:t>
            </w:r>
          </w:p>
        </w:tc>
        <w:tc>
          <w:tcPr>
            <w:tcW w:w="1646" w:type="dxa"/>
            <w:tcBorders>
              <w:top w:val="nil"/>
              <w:left w:val="nil"/>
              <w:bottom w:val="single" w:sz="4" w:space="0" w:color="auto"/>
              <w:right w:val="single" w:sz="4" w:space="0" w:color="auto"/>
            </w:tcBorders>
            <w:shd w:val="clear" w:color="auto" w:fill="auto"/>
            <w:noWrap/>
            <w:vAlign w:val="bottom"/>
            <w:hideMark/>
          </w:tcPr>
          <w:p w14:paraId="0BD5D717"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2,552 </w:t>
            </w:r>
          </w:p>
        </w:tc>
      </w:tr>
      <w:tr w:rsidR="006038DD" w:rsidRPr="006038DD" w14:paraId="3F6DA3F1"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B1766CE"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Deaths from HCC</w:t>
            </w:r>
          </w:p>
        </w:tc>
        <w:tc>
          <w:tcPr>
            <w:tcW w:w="1377" w:type="dxa"/>
            <w:tcBorders>
              <w:top w:val="nil"/>
              <w:left w:val="nil"/>
              <w:bottom w:val="single" w:sz="4" w:space="0" w:color="auto"/>
              <w:right w:val="single" w:sz="4" w:space="0" w:color="auto"/>
            </w:tcBorders>
            <w:shd w:val="clear" w:color="auto" w:fill="auto"/>
            <w:noWrap/>
            <w:vAlign w:val="bottom"/>
            <w:hideMark/>
          </w:tcPr>
          <w:p w14:paraId="7BCFDA4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1,007 </w:t>
            </w:r>
          </w:p>
        </w:tc>
        <w:tc>
          <w:tcPr>
            <w:tcW w:w="1751" w:type="dxa"/>
            <w:tcBorders>
              <w:top w:val="nil"/>
              <w:left w:val="nil"/>
              <w:bottom w:val="single" w:sz="4" w:space="0" w:color="auto"/>
              <w:right w:val="single" w:sz="4" w:space="0" w:color="auto"/>
            </w:tcBorders>
            <w:shd w:val="clear" w:color="auto" w:fill="auto"/>
            <w:noWrap/>
            <w:vAlign w:val="bottom"/>
            <w:hideMark/>
          </w:tcPr>
          <w:p w14:paraId="6FF6CAB5"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1,419 </w:t>
            </w:r>
          </w:p>
        </w:tc>
        <w:tc>
          <w:tcPr>
            <w:tcW w:w="1646" w:type="dxa"/>
            <w:tcBorders>
              <w:top w:val="nil"/>
              <w:left w:val="nil"/>
              <w:bottom w:val="single" w:sz="4" w:space="0" w:color="auto"/>
              <w:right w:val="single" w:sz="4" w:space="0" w:color="auto"/>
            </w:tcBorders>
            <w:shd w:val="clear" w:color="auto" w:fill="auto"/>
            <w:noWrap/>
            <w:vAlign w:val="bottom"/>
            <w:hideMark/>
          </w:tcPr>
          <w:p w14:paraId="69CB8301"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2,552 </w:t>
            </w:r>
          </w:p>
        </w:tc>
      </w:tr>
      <w:tr w:rsidR="006038DD" w:rsidRPr="006038DD" w14:paraId="0C61F849"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C372193" w14:textId="77777777" w:rsidR="006038DD" w:rsidRPr="006038DD" w:rsidRDefault="006038DD" w:rsidP="006038DD">
            <w:pPr>
              <w:spacing w:after="0" w:line="240" w:lineRule="auto"/>
              <w:ind w:left="0" w:firstLine="0"/>
              <w:rPr>
                <w:rFonts w:ascii="Calibri" w:hAnsi="Calibri"/>
              </w:rPr>
            </w:pPr>
            <w:r w:rsidRPr="006038DD">
              <w:rPr>
                <w:rFonts w:ascii="Calibri" w:hAnsi="Calibri"/>
              </w:rPr>
              <w:t>In-patient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1A0FFA1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286,464 </w:t>
            </w:r>
          </w:p>
        </w:tc>
        <w:tc>
          <w:tcPr>
            <w:tcW w:w="1751" w:type="dxa"/>
            <w:tcBorders>
              <w:top w:val="nil"/>
              <w:left w:val="nil"/>
              <w:bottom w:val="single" w:sz="4" w:space="0" w:color="auto"/>
              <w:right w:val="single" w:sz="4" w:space="0" w:color="auto"/>
            </w:tcBorders>
            <w:shd w:val="clear" w:color="auto" w:fill="auto"/>
            <w:noWrap/>
            <w:vAlign w:val="bottom"/>
            <w:hideMark/>
          </w:tcPr>
          <w:p w14:paraId="71FB1229"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403,658 </w:t>
            </w:r>
          </w:p>
        </w:tc>
        <w:tc>
          <w:tcPr>
            <w:tcW w:w="1646" w:type="dxa"/>
            <w:tcBorders>
              <w:top w:val="nil"/>
              <w:left w:val="nil"/>
              <w:bottom w:val="single" w:sz="4" w:space="0" w:color="auto"/>
              <w:right w:val="single" w:sz="4" w:space="0" w:color="auto"/>
            </w:tcBorders>
            <w:shd w:val="clear" w:color="auto" w:fill="auto"/>
            <w:noWrap/>
            <w:vAlign w:val="bottom"/>
            <w:hideMark/>
          </w:tcPr>
          <w:p w14:paraId="47F490C0"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726,283 </w:t>
            </w:r>
          </w:p>
        </w:tc>
      </w:tr>
      <w:tr w:rsidR="006038DD" w:rsidRPr="006038DD" w14:paraId="3DF1F8F2"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57EB687" w14:textId="77777777" w:rsidR="006038DD" w:rsidRPr="006038DD" w:rsidRDefault="006038DD" w:rsidP="006038DD">
            <w:pPr>
              <w:spacing w:after="0" w:line="240" w:lineRule="auto"/>
              <w:ind w:left="0" w:firstLine="0"/>
              <w:rPr>
                <w:rFonts w:ascii="Calibri" w:hAnsi="Calibri"/>
              </w:rPr>
            </w:pPr>
            <w:r w:rsidRPr="006038DD">
              <w:rPr>
                <w:rFonts w:ascii="Calibri" w:hAnsi="Calibri"/>
              </w:rPr>
              <w:t>Out-patient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092D20C1"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127,546 </w:t>
            </w:r>
          </w:p>
        </w:tc>
        <w:tc>
          <w:tcPr>
            <w:tcW w:w="1751" w:type="dxa"/>
            <w:tcBorders>
              <w:top w:val="nil"/>
              <w:left w:val="nil"/>
              <w:bottom w:val="single" w:sz="4" w:space="0" w:color="auto"/>
              <w:right w:val="single" w:sz="4" w:space="0" w:color="auto"/>
            </w:tcBorders>
            <w:shd w:val="clear" w:color="auto" w:fill="auto"/>
            <w:noWrap/>
            <w:vAlign w:val="bottom"/>
            <w:hideMark/>
          </w:tcPr>
          <w:p w14:paraId="234E3913"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179,726 </w:t>
            </w:r>
          </w:p>
        </w:tc>
        <w:tc>
          <w:tcPr>
            <w:tcW w:w="1646" w:type="dxa"/>
            <w:tcBorders>
              <w:top w:val="nil"/>
              <w:left w:val="nil"/>
              <w:bottom w:val="single" w:sz="4" w:space="0" w:color="auto"/>
              <w:right w:val="single" w:sz="4" w:space="0" w:color="auto"/>
            </w:tcBorders>
            <w:shd w:val="clear" w:color="auto" w:fill="auto"/>
            <w:noWrap/>
            <w:vAlign w:val="bottom"/>
            <w:hideMark/>
          </w:tcPr>
          <w:p w14:paraId="0AF040C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323,372 </w:t>
            </w:r>
          </w:p>
        </w:tc>
      </w:tr>
      <w:tr w:rsidR="006038DD" w:rsidRPr="006038DD" w14:paraId="5D2739A2"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6E82FEA" w14:textId="77777777" w:rsidR="006038DD" w:rsidRPr="006038DD" w:rsidRDefault="006038DD" w:rsidP="006038DD">
            <w:pPr>
              <w:spacing w:after="0" w:line="240" w:lineRule="auto"/>
              <w:ind w:left="0" w:firstLine="0"/>
              <w:rPr>
                <w:rFonts w:ascii="Calibri" w:hAnsi="Calibri"/>
              </w:rPr>
            </w:pPr>
            <w:r w:rsidRPr="006038DD">
              <w:rPr>
                <w:rFonts w:ascii="Calibri" w:hAnsi="Calibri"/>
              </w:rPr>
              <w:t>Prescription Drugs'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1482C8E0"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7,765 </w:t>
            </w:r>
          </w:p>
        </w:tc>
        <w:tc>
          <w:tcPr>
            <w:tcW w:w="1751" w:type="dxa"/>
            <w:tcBorders>
              <w:top w:val="nil"/>
              <w:left w:val="nil"/>
              <w:bottom w:val="single" w:sz="4" w:space="0" w:color="auto"/>
              <w:right w:val="single" w:sz="4" w:space="0" w:color="auto"/>
            </w:tcBorders>
            <w:shd w:val="clear" w:color="auto" w:fill="auto"/>
            <w:noWrap/>
            <w:vAlign w:val="bottom"/>
            <w:hideMark/>
          </w:tcPr>
          <w:p w14:paraId="7860FAEF"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10,942 </w:t>
            </w:r>
          </w:p>
        </w:tc>
        <w:tc>
          <w:tcPr>
            <w:tcW w:w="1646" w:type="dxa"/>
            <w:tcBorders>
              <w:top w:val="nil"/>
              <w:left w:val="nil"/>
              <w:bottom w:val="single" w:sz="4" w:space="0" w:color="auto"/>
              <w:right w:val="single" w:sz="4" w:space="0" w:color="auto"/>
            </w:tcBorders>
            <w:shd w:val="clear" w:color="auto" w:fill="auto"/>
            <w:noWrap/>
            <w:vAlign w:val="bottom"/>
            <w:hideMark/>
          </w:tcPr>
          <w:p w14:paraId="3B87A08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19,688 </w:t>
            </w:r>
          </w:p>
        </w:tc>
      </w:tr>
      <w:tr w:rsidR="006038DD" w:rsidRPr="006038DD" w14:paraId="2A4A64A6"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4DAD1B8"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Medical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19AC5FD4"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421,775 </w:t>
            </w:r>
          </w:p>
        </w:tc>
        <w:tc>
          <w:tcPr>
            <w:tcW w:w="1751" w:type="dxa"/>
            <w:tcBorders>
              <w:top w:val="nil"/>
              <w:left w:val="nil"/>
              <w:bottom w:val="single" w:sz="4" w:space="0" w:color="auto"/>
              <w:right w:val="single" w:sz="4" w:space="0" w:color="auto"/>
            </w:tcBorders>
            <w:shd w:val="clear" w:color="auto" w:fill="auto"/>
            <w:noWrap/>
            <w:vAlign w:val="bottom"/>
            <w:hideMark/>
          </w:tcPr>
          <w:p w14:paraId="04E515A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594,326 </w:t>
            </w:r>
          </w:p>
        </w:tc>
        <w:tc>
          <w:tcPr>
            <w:tcW w:w="1646" w:type="dxa"/>
            <w:tcBorders>
              <w:top w:val="nil"/>
              <w:left w:val="nil"/>
              <w:bottom w:val="single" w:sz="4" w:space="0" w:color="auto"/>
              <w:right w:val="single" w:sz="4" w:space="0" w:color="auto"/>
            </w:tcBorders>
            <w:shd w:val="clear" w:color="auto" w:fill="auto"/>
            <w:noWrap/>
            <w:vAlign w:val="bottom"/>
            <w:hideMark/>
          </w:tcPr>
          <w:p w14:paraId="637C154F"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1,069,343 </w:t>
            </w:r>
          </w:p>
        </w:tc>
      </w:tr>
      <w:tr w:rsidR="006038DD" w:rsidRPr="006038DD" w14:paraId="2F25E734"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303EBD5"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Caregiver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487AEE58"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w:t>
            </w:r>
            <w:r w:rsidRPr="006038DD">
              <w:rPr>
                <w:rFonts w:ascii="Calibri" w:hAnsi="Calibri"/>
              </w:rPr>
              <w:lastRenderedPageBreak/>
              <w:t xml:space="preserve">34,245 </w:t>
            </w:r>
          </w:p>
        </w:tc>
        <w:tc>
          <w:tcPr>
            <w:tcW w:w="1751" w:type="dxa"/>
            <w:tcBorders>
              <w:top w:val="nil"/>
              <w:left w:val="nil"/>
              <w:bottom w:val="single" w:sz="4" w:space="0" w:color="auto"/>
              <w:right w:val="single" w:sz="4" w:space="0" w:color="auto"/>
            </w:tcBorders>
            <w:shd w:val="clear" w:color="auto" w:fill="auto"/>
            <w:noWrap/>
            <w:vAlign w:val="bottom"/>
            <w:hideMark/>
          </w:tcPr>
          <w:p w14:paraId="2F168701" w14:textId="77777777" w:rsidR="006038DD" w:rsidRPr="006038DD" w:rsidRDefault="006038DD" w:rsidP="006038DD">
            <w:pPr>
              <w:spacing w:after="0" w:line="240" w:lineRule="auto"/>
              <w:ind w:left="0" w:firstLine="0"/>
              <w:rPr>
                <w:rFonts w:ascii="Calibri" w:hAnsi="Calibri"/>
              </w:rPr>
            </w:pPr>
            <w:r w:rsidRPr="006038DD">
              <w:rPr>
                <w:rFonts w:ascii="Calibri" w:hAnsi="Calibri"/>
              </w:rPr>
              <w:lastRenderedPageBreak/>
              <w:t xml:space="preserve">                      </w:t>
            </w:r>
            <w:r w:rsidRPr="006038DD">
              <w:rPr>
                <w:rFonts w:ascii="Calibri" w:hAnsi="Calibri"/>
              </w:rPr>
              <w:lastRenderedPageBreak/>
              <w:t xml:space="preserve">48,255 </w:t>
            </w:r>
          </w:p>
        </w:tc>
        <w:tc>
          <w:tcPr>
            <w:tcW w:w="1646" w:type="dxa"/>
            <w:tcBorders>
              <w:top w:val="nil"/>
              <w:left w:val="nil"/>
              <w:bottom w:val="single" w:sz="4" w:space="0" w:color="auto"/>
              <w:right w:val="single" w:sz="4" w:space="0" w:color="auto"/>
            </w:tcBorders>
            <w:shd w:val="clear" w:color="auto" w:fill="auto"/>
            <w:noWrap/>
            <w:vAlign w:val="bottom"/>
            <w:hideMark/>
          </w:tcPr>
          <w:p w14:paraId="0E460476" w14:textId="77777777" w:rsidR="006038DD" w:rsidRPr="006038DD" w:rsidRDefault="006038DD" w:rsidP="006038DD">
            <w:pPr>
              <w:spacing w:after="0" w:line="240" w:lineRule="auto"/>
              <w:ind w:left="0" w:firstLine="0"/>
              <w:rPr>
                <w:rFonts w:ascii="Calibri" w:hAnsi="Calibri"/>
              </w:rPr>
            </w:pPr>
            <w:r w:rsidRPr="006038DD">
              <w:rPr>
                <w:rFonts w:ascii="Calibri" w:hAnsi="Calibri"/>
              </w:rPr>
              <w:lastRenderedPageBreak/>
              <w:t xml:space="preserve">                    </w:t>
            </w:r>
            <w:r w:rsidRPr="006038DD">
              <w:rPr>
                <w:rFonts w:ascii="Calibri" w:hAnsi="Calibri"/>
              </w:rPr>
              <w:lastRenderedPageBreak/>
              <w:t xml:space="preserve">86,823 </w:t>
            </w:r>
          </w:p>
        </w:tc>
      </w:tr>
      <w:tr w:rsidR="006038DD" w:rsidRPr="006038DD" w14:paraId="767CD26C"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C23828A" w14:textId="77777777" w:rsidR="006038DD" w:rsidRPr="006038DD" w:rsidRDefault="006038DD" w:rsidP="006038DD">
            <w:pPr>
              <w:spacing w:after="0" w:line="240" w:lineRule="auto"/>
              <w:ind w:left="0" w:firstLine="0"/>
              <w:rPr>
                <w:rFonts w:ascii="Calibri" w:hAnsi="Calibri"/>
              </w:rPr>
            </w:pPr>
            <w:r w:rsidRPr="006038DD">
              <w:rPr>
                <w:rFonts w:ascii="Calibri" w:hAnsi="Calibri"/>
              </w:rPr>
              <w:lastRenderedPageBreak/>
              <w:t>Total Transportation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5953E15E"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11,648 </w:t>
            </w:r>
          </w:p>
        </w:tc>
        <w:tc>
          <w:tcPr>
            <w:tcW w:w="1751" w:type="dxa"/>
            <w:tcBorders>
              <w:top w:val="nil"/>
              <w:left w:val="nil"/>
              <w:bottom w:val="single" w:sz="4" w:space="0" w:color="auto"/>
              <w:right w:val="single" w:sz="4" w:space="0" w:color="auto"/>
            </w:tcBorders>
            <w:shd w:val="clear" w:color="auto" w:fill="auto"/>
            <w:noWrap/>
            <w:vAlign w:val="bottom"/>
            <w:hideMark/>
          </w:tcPr>
          <w:p w14:paraId="01F9A8F2"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16,413 </w:t>
            </w:r>
          </w:p>
        </w:tc>
        <w:tc>
          <w:tcPr>
            <w:tcW w:w="1646" w:type="dxa"/>
            <w:tcBorders>
              <w:top w:val="nil"/>
              <w:left w:val="nil"/>
              <w:bottom w:val="single" w:sz="4" w:space="0" w:color="auto"/>
              <w:right w:val="single" w:sz="4" w:space="0" w:color="auto"/>
            </w:tcBorders>
            <w:shd w:val="clear" w:color="auto" w:fill="auto"/>
            <w:noWrap/>
            <w:vAlign w:val="bottom"/>
            <w:hideMark/>
          </w:tcPr>
          <w:p w14:paraId="61D2FE90"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29,532 </w:t>
            </w:r>
          </w:p>
        </w:tc>
      </w:tr>
      <w:tr w:rsidR="006038DD" w:rsidRPr="006038DD" w14:paraId="342D8DCC"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DA17099" w14:textId="77777777" w:rsidR="006038DD" w:rsidRPr="006038DD" w:rsidRDefault="006038DD" w:rsidP="006038DD">
            <w:pPr>
              <w:spacing w:after="0" w:line="240" w:lineRule="auto"/>
              <w:ind w:left="0" w:firstLine="0"/>
              <w:rPr>
                <w:rFonts w:ascii="Calibri" w:hAnsi="Calibri"/>
              </w:rPr>
            </w:pPr>
            <w:r w:rsidRPr="006038DD">
              <w:rPr>
                <w:rFonts w:ascii="Calibri" w:hAnsi="Calibri"/>
              </w:rPr>
              <w:t>Total Costs of Alternative Medicine-CAM- (in US$)</w:t>
            </w:r>
          </w:p>
        </w:tc>
        <w:tc>
          <w:tcPr>
            <w:tcW w:w="1377" w:type="dxa"/>
            <w:tcBorders>
              <w:top w:val="nil"/>
              <w:left w:val="nil"/>
              <w:bottom w:val="single" w:sz="4" w:space="0" w:color="auto"/>
              <w:right w:val="single" w:sz="4" w:space="0" w:color="auto"/>
            </w:tcBorders>
            <w:shd w:val="clear" w:color="auto" w:fill="auto"/>
            <w:noWrap/>
            <w:vAlign w:val="bottom"/>
            <w:hideMark/>
          </w:tcPr>
          <w:p w14:paraId="25695EB2"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3,883 </w:t>
            </w:r>
          </w:p>
        </w:tc>
        <w:tc>
          <w:tcPr>
            <w:tcW w:w="1751" w:type="dxa"/>
            <w:tcBorders>
              <w:top w:val="nil"/>
              <w:left w:val="nil"/>
              <w:bottom w:val="single" w:sz="4" w:space="0" w:color="auto"/>
              <w:right w:val="single" w:sz="4" w:space="0" w:color="auto"/>
            </w:tcBorders>
            <w:shd w:val="clear" w:color="auto" w:fill="auto"/>
            <w:noWrap/>
            <w:vAlign w:val="bottom"/>
            <w:hideMark/>
          </w:tcPr>
          <w:p w14:paraId="5662A695"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15 </w:t>
            </w:r>
          </w:p>
        </w:tc>
        <w:tc>
          <w:tcPr>
            <w:tcW w:w="1646" w:type="dxa"/>
            <w:tcBorders>
              <w:top w:val="nil"/>
              <w:left w:val="nil"/>
              <w:bottom w:val="single" w:sz="4" w:space="0" w:color="auto"/>
              <w:right w:val="single" w:sz="4" w:space="0" w:color="auto"/>
            </w:tcBorders>
            <w:shd w:val="clear" w:color="auto" w:fill="auto"/>
            <w:noWrap/>
            <w:vAlign w:val="bottom"/>
            <w:hideMark/>
          </w:tcPr>
          <w:p w14:paraId="219D8CC1" w14:textId="77777777" w:rsidR="006038DD" w:rsidRPr="006038DD" w:rsidRDefault="006038DD" w:rsidP="006038DD">
            <w:pPr>
              <w:spacing w:after="0" w:line="240" w:lineRule="auto"/>
              <w:ind w:left="0" w:firstLine="0"/>
              <w:rPr>
                <w:rFonts w:ascii="Calibri" w:hAnsi="Calibri"/>
              </w:rPr>
            </w:pPr>
            <w:r w:rsidRPr="006038DD">
              <w:rPr>
                <w:rFonts w:ascii="Calibri" w:hAnsi="Calibri"/>
              </w:rPr>
              <w:t xml:space="preserve">                            20 </w:t>
            </w:r>
          </w:p>
        </w:tc>
      </w:tr>
      <w:tr w:rsidR="006038DD" w:rsidRPr="006038DD" w14:paraId="22EDC637"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2A5A21A"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Non-medical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374894DD"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49,776 </w:t>
            </w:r>
          </w:p>
        </w:tc>
        <w:tc>
          <w:tcPr>
            <w:tcW w:w="1751" w:type="dxa"/>
            <w:tcBorders>
              <w:top w:val="nil"/>
              <w:left w:val="nil"/>
              <w:bottom w:val="single" w:sz="4" w:space="0" w:color="auto"/>
              <w:right w:val="single" w:sz="4" w:space="0" w:color="auto"/>
            </w:tcBorders>
            <w:shd w:val="clear" w:color="auto" w:fill="auto"/>
            <w:noWrap/>
            <w:vAlign w:val="bottom"/>
            <w:hideMark/>
          </w:tcPr>
          <w:p w14:paraId="7683BED2"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64,684 </w:t>
            </w:r>
          </w:p>
        </w:tc>
        <w:tc>
          <w:tcPr>
            <w:tcW w:w="1646" w:type="dxa"/>
            <w:tcBorders>
              <w:top w:val="nil"/>
              <w:left w:val="nil"/>
              <w:bottom w:val="single" w:sz="4" w:space="0" w:color="auto"/>
              <w:right w:val="single" w:sz="4" w:space="0" w:color="auto"/>
            </w:tcBorders>
            <w:shd w:val="clear" w:color="auto" w:fill="auto"/>
            <w:noWrap/>
            <w:vAlign w:val="bottom"/>
            <w:hideMark/>
          </w:tcPr>
          <w:p w14:paraId="373C64A4"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116,375 </w:t>
            </w:r>
          </w:p>
        </w:tc>
      </w:tr>
      <w:tr w:rsidR="006038DD" w:rsidRPr="006038DD" w14:paraId="08CD5314"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6D9EF45"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Cost-of-Illness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41BCE1E3"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471,551 </w:t>
            </w:r>
          </w:p>
        </w:tc>
        <w:tc>
          <w:tcPr>
            <w:tcW w:w="1751" w:type="dxa"/>
            <w:tcBorders>
              <w:top w:val="nil"/>
              <w:left w:val="nil"/>
              <w:bottom w:val="single" w:sz="4" w:space="0" w:color="auto"/>
              <w:right w:val="single" w:sz="4" w:space="0" w:color="auto"/>
            </w:tcBorders>
            <w:shd w:val="clear" w:color="auto" w:fill="auto"/>
            <w:noWrap/>
            <w:vAlign w:val="bottom"/>
            <w:hideMark/>
          </w:tcPr>
          <w:p w14:paraId="0632A7AC"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659,009 </w:t>
            </w:r>
          </w:p>
        </w:tc>
        <w:tc>
          <w:tcPr>
            <w:tcW w:w="1646" w:type="dxa"/>
            <w:tcBorders>
              <w:top w:val="nil"/>
              <w:left w:val="nil"/>
              <w:bottom w:val="single" w:sz="4" w:space="0" w:color="auto"/>
              <w:right w:val="single" w:sz="4" w:space="0" w:color="auto"/>
            </w:tcBorders>
            <w:shd w:val="clear" w:color="auto" w:fill="auto"/>
            <w:noWrap/>
            <w:vAlign w:val="bottom"/>
            <w:hideMark/>
          </w:tcPr>
          <w:p w14:paraId="60571BAB"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1,185,718 </w:t>
            </w:r>
          </w:p>
        </w:tc>
      </w:tr>
      <w:tr w:rsidR="006038DD" w:rsidRPr="006038DD" w14:paraId="001E711F" w14:textId="77777777" w:rsidTr="006038DD">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7F8E594"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Total Economic Loss (in US$)</w:t>
            </w:r>
          </w:p>
        </w:tc>
        <w:tc>
          <w:tcPr>
            <w:tcW w:w="1377" w:type="dxa"/>
            <w:tcBorders>
              <w:top w:val="nil"/>
              <w:left w:val="nil"/>
              <w:bottom w:val="single" w:sz="4" w:space="0" w:color="auto"/>
              <w:right w:val="single" w:sz="4" w:space="0" w:color="auto"/>
            </w:tcBorders>
            <w:shd w:val="clear" w:color="auto" w:fill="auto"/>
            <w:noWrap/>
            <w:vAlign w:val="bottom"/>
            <w:hideMark/>
          </w:tcPr>
          <w:p w14:paraId="328C4B43"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26,090,691 </w:t>
            </w:r>
          </w:p>
        </w:tc>
        <w:tc>
          <w:tcPr>
            <w:tcW w:w="1751" w:type="dxa"/>
            <w:tcBorders>
              <w:top w:val="nil"/>
              <w:left w:val="nil"/>
              <w:bottom w:val="single" w:sz="4" w:space="0" w:color="auto"/>
              <w:right w:val="single" w:sz="4" w:space="0" w:color="auto"/>
            </w:tcBorders>
            <w:shd w:val="clear" w:color="auto" w:fill="auto"/>
            <w:noWrap/>
            <w:vAlign w:val="bottom"/>
            <w:hideMark/>
          </w:tcPr>
          <w:p w14:paraId="4B3023C7"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36,764,545 </w:t>
            </w:r>
          </w:p>
        </w:tc>
        <w:tc>
          <w:tcPr>
            <w:tcW w:w="1646" w:type="dxa"/>
            <w:tcBorders>
              <w:top w:val="nil"/>
              <w:left w:val="nil"/>
              <w:bottom w:val="single" w:sz="4" w:space="0" w:color="auto"/>
              <w:right w:val="single" w:sz="4" w:space="0" w:color="auto"/>
            </w:tcBorders>
            <w:shd w:val="clear" w:color="auto" w:fill="auto"/>
            <w:noWrap/>
            <w:vAlign w:val="bottom"/>
            <w:hideMark/>
          </w:tcPr>
          <w:p w14:paraId="10D96C5A" w14:textId="77777777" w:rsidR="006038DD" w:rsidRPr="006038DD" w:rsidRDefault="006038DD" w:rsidP="006038DD">
            <w:pPr>
              <w:spacing w:after="0" w:line="240" w:lineRule="auto"/>
              <w:ind w:left="0" w:firstLine="0"/>
              <w:rPr>
                <w:rFonts w:ascii="Calibri" w:hAnsi="Calibri"/>
                <w:b/>
                <w:bCs/>
              </w:rPr>
            </w:pPr>
            <w:r w:rsidRPr="006038DD">
              <w:rPr>
                <w:rFonts w:ascii="Calibri" w:hAnsi="Calibri"/>
                <w:b/>
                <w:bCs/>
              </w:rPr>
              <w:t xml:space="preserve">           66,148,764 </w:t>
            </w:r>
          </w:p>
        </w:tc>
      </w:tr>
      <w:tr w:rsidR="006038DD" w:rsidRPr="006038DD" w14:paraId="620B1492" w14:textId="77777777" w:rsidTr="006038DD">
        <w:trPr>
          <w:trHeight w:val="300"/>
        </w:trPr>
        <w:tc>
          <w:tcPr>
            <w:tcW w:w="4488" w:type="dxa"/>
            <w:tcBorders>
              <w:top w:val="nil"/>
              <w:left w:val="nil"/>
              <w:bottom w:val="nil"/>
              <w:right w:val="nil"/>
            </w:tcBorders>
            <w:shd w:val="clear" w:color="auto" w:fill="auto"/>
            <w:noWrap/>
            <w:vAlign w:val="bottom"/>
            <w:hideMark/>
          </w:tcPr>
          <w:p w14:paraId="2AE65D1F" w14:textId="77777777" w:rsidR="006038DD" w:rsidRPr="006038DD" w:rsidRDefault="006038DD" w:rsidP="006038DD">
            <w:pPr>
              <w:spacing w:after="0" w:line="240" w:lineRule="auto"/>
              <w:ind w:left="0" w:firstLine="0"/>
              <w:rPr>
                <w:rFonts w:ascii="Calibri" w:hAnsi="Calibri"/>
              </w:rPr>
            </w:pPr>
            <w:r w:rsidRPr="006038DD">
              <w:rPr>
                <w:rFonts w:ascii="Calibri" w:hAnsi="Calibri"/>
              </w:rPr>
              <w:t>* Discounted at 3%</w:t>
            </w:r>
          </w:p>
        </w:tc>
        <w:tc>
          <w:tcPr>
            <w:tcW w:w="1377" w:type="dxa"/>
            <w:tcBorders>
              <w:top w:val="nil"/>
              <w:left w:val="nil"/>
              <w:bottom w:val="nil"/>
              <w:right w:val="nil"/>
            </w:tcBorders>
            <w:shd w:val="clear" w:color="auto" w:fill="auto"/>
            <w:noWrap/>
            <w:vAlign w:val="bottom"/>
            <w:hideMark/>
          </w:tcPr>
          <w:p w14:paraId="628F4434" w14:textId="77777777" w:rsidR="006038DD" w:rsidRPr="006038DD" w:rsidRDefault="006038DD" w:rsidP="006038DD">
            <w:pPr>
              <w:spacing w:after="0" w:line="240" w:lineRule="auto"/>
              <w:ind w:left="0" w:firstLine="0"/>
              <w:rPr>
                <w:rFonts w:ascii="Calibri" w:hAnsi="Calibri"/>
              </w:rPr>
            </w:pPr>
          </w:p>
        </w:tc>
        <w:tc>
          <w:tcPr>
            <w:tcW w:w="1751" w:type="dxa"/>
            <w:tcBorders>
              <w:top w:val="nil"/>
              <w:left w:val="nil"/>
              <w:bottom w:val="nil"/>
              <w:right w:val="nil"/>
            </w:tcBorders>
            <w:shd w:val="clear" w:color="auto" w:fill="auto"/>
            <w:noWrap/>
            <w:vAlign w:val="bottom"/>
            <w:hideMark/>
          </w:tcPr>
          <w:p w14:paraId="2D38743B" w14:textId="77777777" w:rsidR="006038DD" w:rsidRPr="006038DD" w:rsidRDefault="006038DD" w:rsidP="006038DD">
            <w:pPr>
              <w:spacing w:after="0" w:line="240" w:lineRule="auto"/>
              <w:ind w:left="0" w:firstLine="0"/>
              <w:rPr>
                <w:color w:val="auto"/>
                <w:sz w:val="20"/>
                <w:szCs w:val="20"/>
              </w:rPr>
            </w:pPr>
          </w:p>
        </w:tc>
        <w:tc>
          <w:tcPr>
            <w:tcW w:w="1646" w:type="dxa"/>
            <w:tcBorders>
              <w:top w:val="nil"/>
              <w:left w:val="nil"/>
              <w:bottom w:val="nil"/>
              <w:right w:val="nil"/>
            </w:tcBorders>
            <w:shd w:val="clear" w:color="auto" w:fill="auto"/>
            <w:noWrap/>
            <w:vAlign w:val="bottom"/>
            <w:hideMark/>
          </w:tcPr>
          <w:p w14:paraId="69CFC024" w14:textId="77777777" w:rsidR="006038DD" w:rsidRPr="006038DD" w:rsidRDefault="006038DD" w:rsidP="006038DD">
            <w:pPr>
              <w:spacing w:after="0" w:line="240" w:lineRule="auto"/>
              <w:ind w:left="0" w:firstLine="0"/>
              <w:rPr>
                <w:color w:val="auto"/>
                <w:sz w:val="20"/>
                <w:szCs w:val="20"/>
              </w:rPr>
            </w:pPr>
          </w:p>
        </w:tc>
      </w:tr>
    </w:tbl>
    <w:p w14:paraId="1926E450" w14:textId="77777777" w:rsidR="006038DD" w:rsidRDefault="006038DD" w:rsidP="00492AEF">
      <w:pPr>
        <w:spacing w:after="0" w:line="480" w:lineRule="auto"/>
        <w:jc w:val="both"/>
      </w:pPr>
    </w:p>
    <w:p w14:paraId="580B9562" w14:textId="644B3A2F" w:rsidR="001A0B23" w:rsidRDefault="001A0B23" w:rsidP="00721FFF">
      <w:pPr>
        <w:pStyle w:val="Heading3"/>
      </w:pPr>
      <w:bookmarkStart w:id="36" w:name="_Toc427672773"/>
      <w:r>
        <w:t>8.4.5 Children specific economic impact</w:t>
      </w:r>
      <w:bookmarkEnd w:id="36"/>
    </w:p>
    <w:p w14:paraId="1BDC535E" w14:textId="77777777" w:rsidR="00721FFF" w:rsidRDefault="00721FFF" w:rsidP="002B2C64">
      <w:pPr>
        <w:spacing w:line="360" w:lineRule="auto"/>
        <w:ind w:left="-6" w:hanging="11"/>
        <w:jc w:val="both"/>
      </w:pPr>
    </w:p>
    <w:p w14:paraId="702C4998" w14:textId="5EE04753" w:rsidR="00EB31DF" w:rsidRPr="002B2C64" w:rsidRDefault="001A0B23" w:rsidP="002B2C64">
      <w:pPr>
        <w:spacing w:line="360" w:lineRule="auto"/>
        <w:ind w:left="-6" w:hanging="11"/>
        <w:jc w:val="both"/>
        <w:rPr>
          <w:rFonts w:ascii="Calibri" w:hAnsi="Calibri"/>
          <w:bCs/>
        </w:rPr>
      </w:pPr>
      <w:r>
        <w:t xml:space="preserve">The </w:t>
      </w:r>
      <w:r w:rsidR="006049E6">
        <w:t xml:space="preserve">male </w:t>
      </w:r>
      <w:r>
        <w:t>children population modelled in this study had a median of 141,220 males</w:t>
      </w:r>
      <w:r w:rsidR="006049E6">
        <w:t xml:space="preserve"> (Table 11)</w:t>
      </w:r>
      <w:r>
        <w:t>. From a median of 21,183 positive chronic Hepatitis B cases, 1,727 wil</w:t>
      </w:r>
      <w:r w:rsidRPr="001C0E90">
        <w:t xml:space="preserve">l develop HCC </w:t>
      </w:r>
      <w:r>
        <w:t>which will</w:t>
      </w:r>
      <w:r w:rsidRPr="001C0E90">
        <w:t xml:space="preserve"> result to death within the year. From this, morbidity and mortality a total of </w:t>
      </w:r>
      <w:r>
        <w:t>283,556</w:t>
      </w:r>
      <w:r w:rsidRPr="001C0E90">
        <w:t xml:space="preserve"> DALYs (discounted at 3%) would be lost equivalent to US$ </w:t>
      </w:r>
      <w:r w:rsidR="006049E6">
        <w:t>142,344,930</w:t>
      </w:r>
      <w:r w:rsidRPr="001C0E90">
        <w:t xml:space="preserve"> worth of GDP</w:t>
      </w:r>
      <w:r>
        <w:t xml:space="preserve">. Total medical cost </w:t>
      </w:r>
      <w:r w:rsidR="006049E6">
        <w:t>amo</w:t>
      </w:r>
      <w:r>
        <w:t xml:space="preserve">unt to a median of US$ </w:t>
      </w:r>
      <w:r w:rsidR="006049E6" w:rsidRPr="00AE40F7">
        <w:rPr>
          <w:rFonts w:ascii="Calibri" w:hAnsi="Calibri"/>
          <w:bCs/>
        </w:rPr>
        <w:t>2,301,109</w:t>
      </w:r>
      <w:r w:rsidR="006049E6">
        <w:rPr>
          <w:rFonts w:ascii="Calibri" w:hAnsi="Calibri"/>
          <w:bCs/>
        </w:rPr>
        <w:t xml:space="preserve"> </w:t>
      </w:r>
      <w:r>
        <w:t xml:space="preserve">while non-medical is US$ </w:t>
      </w:r>
      <w:r w:rsidR="006049E6" w:rsidRPr="00AE40F7">
        <w:rPr>
          <w:rFonts w:ascii="Calibri" w:hAnsi="Calibri"/>
          <w:bCs/>
        </w:rPr>
        <w:t>250,398</w:t>
      </w:r>
      <w:r w:rsidR="006049E6">
        <w:rPr>
          <w:rFonts w:ascii="Calibri" w:hAnsi="Calibri"/>
          <w:bCs/>
        </w:rPr>
        <w:t>.</w:t>
      </w:r>
    </w:p>
    <w:p w14:paraId="76551907" w14:textId="23860378" w:rsidR="003E003B" w:rsidRPr="003E003B" w:rsidRDefault="003E003B" w:rsidP="003E003B"/>
    <w:p w14:paraId="3FB1A5DD" w14:textId="77777777" w:rsidR="001775BD" w:rsidRDefault="001775BD" w:rsidP="0013596F">
      <w:pPr>
        <w:spacing w:after="0" w:line="360" w:lineRule="auto"/>
        <w:ind w:left="-6" w:hanging="11"/>
        <w:jc w:val="both"/>
      </w:pPr>
    </w:p>
    <w:p w14:paraId="314E91F9" w14:textId="768E5FA4" w:rsidR="0013596F" w:rsidRDefault="0013596F" w:rsidP="00492AEF">
      <w:pPr>
        <w:spacing w:after="0" w:line="480" w:lineRule="auto"/>
        <w:ind w:left="-6" w:hanging="11"/>
        <w:jc w:val="both"/>
      </w:pPr>
      <w:r>
        <w:t>Table 11.</w:t>
      </w:r>
      <w:r w:rsidR="001775BD">
        <w:t xml:space="preserve"> Economic and epidemiological values for </w:t>
      </w:r>
      <w:r w:rsidR="00056B81">
        <w:t>children male population (US$</w:t>
      </w:r>
      <w:r w:rsidR="001775BD">
        <w:t>)</w:t>
      </w:r>
    </w:p>
    <w:tbl>
      <w:tblPr>
        <w:tblW w:w="9245" w:type="dxa"/>
        <w:tblInd w:w="113" w:type="dxa"/>
        <w:tblLook w:val="04A0" w:firstRow="1" w:lastRow="0" w:firstColumn="1" w:lastColumn="0" w:noHBand="0" w:noVBand="1"/>
      </w:tblPr>
      <w:tblGrid>
        <w:gridCol w:w="4488"/>
        <w:gridCol w:w="1360"/>
        <w:gridCol w:w="1751"/>
        <w:gridCol w:w="1646"/>
      </w:tblGrid>
      <w:tr w:rsidR="00056B81" w:rsidRPr="00476E3E" w14:paraId="71EBDDE9" w14:textId="77777777" w:rsidTr="00056B81">
        <w:trPr>
          <w:trHeight w:val="300"/>
        </w:trPr>
        <w:tc>
          <w:tcPr>
            <w:tcW w:w="92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0112"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Children Male Population (0-14)</w:t>
            </w:r>
          </w:p>
        </w:tc>
      </w:tr>
      <w:tr w:rsidR="00056B81" w:rsidRPr="00476E3E" w14:paraId="14FBCF83"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0AD33B4" w14:textId="77777777" w:rsidR="00056B81" w:rsidRPr="00476E3E" w:rsidRDefault="00056B81" w:rsidP="00056B81">
            <w:pPr>
              <w:spacing w:after="0" w:line="240" w:lineRule="auto"/>
              <w:ind w:left="0" w:firstLine="0"/>
              <w:rPr>
                <w:rFonts w:ascii="Calibri" w:hAnsi="Calibri"/>
              </w:rPr>
            </w:pPr>
            <w:r w:rsidRPr="00476E3E">
              <w:rPr>
                <w:rFonts w:ascii="Calibri" w:hAnsi="Calibri"/>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A51DD7"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1st Quartile</w:t>
            </w:r>
          </w:p>
        </w:tc>
        <w:tc>
          <w:tcPr>
            <w:tcW w:w="1751" w:type="dxa"/>
            <w:tcBorders>
              <w:top w:val="nil"/>
              <w:left w:val="nil"/>
              <w:bottom w:val="single" w:sz="4" w:space="0" w:color="auto"/>
              <w:right w:val="single" w:sz="4" w:space="0" w:color="auto"/>
            </w:tcBorders>
            <w:shd w:val="clear" w:color="auto" w:fill="auto"/>
            <w:noWrap/>
            <w:vAlign w:val="bottom"/>
            <w:hideMark/>
          </w:tcPr>
          <w:p w14:paraId="4C768358"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Median</w:t>
            </w:r>
          </w:p>
        </w:tc>
        <w:tc>
          <w:tcPr>
            <w:tcW w:w="1646" w:type="dxa"/>
            <w:tcBorders>
              <w:top w:val="nil"/>
              <w:left w:val="nil"/>
              <w:bottom w:val="single" w:sz="4" w:space="0" w:color="auto"/>
              <w:right w:val="single" w:sz="4" w:space="0" w:color="auto"/>
            </w:tcBorders>
            <w:shd w:val="clear" w:color="auto" w:fill="auto"/>
            <w:noWrap/>
            <w:vAlign w:val="bottom"/>
            <w:hideMark/>
          </w:tcPr>
          <w:p w14:paraId="79999BD2"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3rd Quartile</w:t>
            </w:r>
          </w:p>
        </w:tc>
      </w:tr>
      <w:tr w:rsidR="00056B81" w:rsidRPr="00476E3E" w14:paraId="1697D262"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B5490C3"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Population</w:t>
            </w:r>
          </w:p>
        </w:tc>
        <w:tc>
          <w:tcPr>
            <w:tcW w:w="1360" w:type="dxa"/>
            <w:tcBorders>
              <w:top w:val="nil"/>
              <w:left w:val="nil"/>
              <w:bottom w:val="single" w:sz="4" w:space="0" w:color="auto"/>
              <w:right w:val="single" w:sz="4" w:space="0" w:color="auto"/>
            </w:tcBorders>
            <w:shd w:val="clear" w:color="auto" w:fill="auto"/>
            <w:noWrap/>
            <w:vAlign w:val="bottom"/>
            <w:hideMark/>
          </w:tcPr>
          <w:p w14:paraId="164236D9"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110,461 </w:t>
            </w:r>
          </w:p>
        </w:tc>
        <w:tc>
          <w:tcPr>
            <w:tcW w:w="1751" w:type="dxa"/>
            <w:tcBorders>
              <w:top w:val="nil"/>
              <w:left w:val="nil"/>
              <w:bottom w:val="single" w:sz="4" w:space="0" w:color="auto"/>
              <w:right w:val="single" w:sz="4" w:space="0" w:color="auto"/>
            </w:tcBorders>
            <w:shd w:val="clear" w:color="auto" w:fill="auto"/>
            <w:noWrap/>
            <w:vAlign w:val="bottom"/>
            <w:hideMark/>
          </w:tcPr>
          <w:p w14:paraId="053EEA8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141,220 </w:t>
            </w:r>
          </w:p>
        </w:tc>
        <w:tc>
          <w:tcPr>
            <w:tcW w:w="1646" w:type="dxa"/>
            <w:tcBorders>
              <w:top w:val="nil"/>
              <w:left w:val="nil"/>
              <w:bottom w:val="single" w:sz="4" w:space="0" w:color="auto"/>
              <w:right w:val="single" w:sz="4" w:space="0" w:color="auto"/>
            </w:tcBorders>
            <w:shd w:val="clear" w:color="auto" w:fill="auto"/>
            <w:noWrap/>
            <w:vAlign w:val="bottom"/>
            <w:hideMark/>
          </w:tcPr>
          <w:p w14:paraId="59B88374"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147,625 </w:t>
            </w:r>
          </w:p>
        </w:tc>
      </w:tr>
      <w:tr w:rsidR="00056B81" w:rsidRPr="00476E3E" w14:paraId="25428433"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96EB9E4"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DALYs*</w:t>
            </w:r>
          </w:p>
        </w:tc>
        <w:tc>
          <w:tcPr>
            <w:tcW w:w="1360" w:type="dxa"/>
            <w:tcBorders>
              <w:top w:val="nil"/>
              <w:left w:val="nil"/>
              <w:bottom w:val="single" w:sz="4" w:space="0" w:color="auto"/>
              <w:right w:val="single" w:sz="4" w:space="0" w:color="auto"/>
            </w:tcBorders>
            <w:shd w:val="clear" w:color="auto" w:fill="auto"/>
            <w:noWrap/>
            <w:vAlign w:val="bottom"/>
            <w:hideMark/>
          </w:tcPr>
          <w:p w14:paraId="07DE33D4"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221,794.64 </w:t>
            </w:r>
          </w:p>
        </w:tc>
        <w:tc>
          <w:tcPr>
            <w:tcW w:w="1751" w:type="dxa"/>
            <w:tcBorders>
              <w:top w:val="nil"/>
              <w:left w:val="nil"/>
              <w:bottom w:val="single" w:sz="4" w:space="0" w:color="auto"/>
              <w:right w:val="single" w:sz="4" w:space="0" w:color="auto"/>
            </w:tcBorders>
            <w:shd w:val="clear" w:color="auto" w:fill="auto"/>
            <w:noWrap/>
            <w:vAlign w:val="bottom"/>
            <w:hideMark/>
          </w:tcPr>
          <w:p w14:paraId="7276F0E1"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283,556 </w:t>
            </w:r>
          </w:p>
        </w:tc>
        <w:tc>
          <w:tcPr>
            <w:tcW w:w="1646" w:type="dxa"/>
            <w:tcBorders>
              <w:top w:val="nil"/>
              <w:left w:val="nil"/>
              <w:bottom w:val="single" w:sz="4" w:space="0" w:color="auto"/>
              <w:right w:val="single" w:sz="4" w:space="0" w:color="auto"/>
            </w:tcBorders>
            <w:shd w:val="clear" w:color="auto" w:fill="auto"/>
            <w:noWrap/>
            <w:vAlign w:val="bottom"/>
            <w:hideMark/>
          </w:tcPr>
          <w:p w14:paraId="5803CFAA"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296,416 </w:t>
            </w:r>
          </w:p>
        </w:tc>
      </w:tr>
      <w:tr w:rsidR="00056B81" w:rsidRPr="00476E3E" w14:paraId="7F008FA4"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3D67165"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Monetized DALYs§</w:t>
            </w:r>
          </w:p>
        </w:tc>
        <w:tc>
          <w:tcPr>
            <w:tcW w:w="1360" w:type="dxa"/>
            <w:tcBorders>
              <w:top w:val="nil"/>
              <w:left w:val="nil"/>
              <w:bottom w:val="single" w:sz="4" w:space="0" w:color="auto"/>
              <w:right w:val="single" w:sz="4" w:space="0" w:color="auto"/>
            </w:tcBorders>
            <w:shd w:val="clear" w:color="auto" w:fill="auto"/>
            <w:noWrap/>
            <w:vAlign w:val="bottom"/>
            <w:hideMark/>
          </w:tcPr>
          <w:p w14:paraId="54C8F380"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111,340,910 </w:t>
            </w:r>
          </w:p>
        </w:tc>
        <w:tc>
          <w:tcPr>
            <w:tcW w:w="1751" w:type="dxa"/>
            <w:tcBorders>
              <w:top w:val="nil"/>
              <w:left w:val="nil"/>
              <w:bottom w:val="single" w:sz="4" w:space="0" w:color="auto"/>
              <w:right w:val="single" w:sz="4" w:space="0" w:color="auto"/>
            </w:tcBorders>
            <w:shd w:val="clear" w:color="auto" w:fill="auto"/>
            <w:noWrap/>
            <w:vAlign w:val="bottom"/>
            <w:hideMark/>
          </w:tcPr>
          <w:p w14:paraId="3C325E1A"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142,344,930 </w:t>
            </w:r>
          </w:p>
        </w:tc>
        <w:tc>
          <w:tcPr>
            <w:tcW w:w="1646" w:type="dxa"/>
            <w:tcBorders>
              <w:top w:val="nil"/>
              <w:left w:val="nil"/>
              <w:bottom w:val="single" w:sz="4" w:space="0" w:color="auto"/>
              <w:right w:val="single" w:sz="4" w:space="0" w:color="auto"/>
            </w:tcBorders>
            <w:shd w:val="clear" w:color="auto" w:fill="auto"/>
            <w:noWrap/>
            <w:vAlign w:val="bottom"/>
            <w:hideMark/>
          </w:tcPr>
          <w:p w14:paraId="7350D4C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148,800,951 </w:t>
            </w:r>
          </w:p>
        </w:tc>
      </w:tr>
      <w:tr w:rsidR="00056B81" w:rsidRPr="00476E3E" w14:paraId="3EAA9956"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3937865"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Chronic Hepatitis B (positive)</w:t>
            </w:r>
          </w:p>
        </w:tc>
        <w:tc>
          <w:tcPr>
            <w:tcW w:w="1360" w:type="dxa"/>
            <w:tcBorders>
              <w:top w:val="nil"/>
              <w:left w:val="nil"/>
              <w:bottom w:val="single" w:sz="4" w:space="0" w:color="auto"/>
              <w:right w:val="single" w:sz="4" w:space="0" w:color="auto"/>
            </w:tcBorders>
            <w:shd w:val="clear" w:color="auto" w:fill="auto"/>
            <w:noWrap/>
            <w:vAlign w:val="bottom"/>
            <w:hideMark/>
          </w:tcPr>
          <w:p w14:paraId="5B7E913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16,569 </w:t>
            </w:r>
          </w:p>
        </w:tc>
        <w:tc>
          <w:tcPr>
            <w:tcW w:w="1751" w:type="dxa"/>
            <w:tcBorders>
              <w:top w:val="nil"/>
              <w:left w:val="nil"/>
              <w:bottom w:val="single" w:sz="4" w:space="0" w:color="auto"/>
              <w:right w:val="single" w:sz="4" w:space="0" w:color="auto"/>
            </w:tcBorders>
            <w:shd w:val="clear" w:color="auto" w:fill="auto"/>
            <w:noWrap/>
            <w:vAlign w:val="bottom"/>
            <w:hideMark/>
          </w:tcPr>
          <w:p w14:paraId="21967CC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21,183 </w:t>
            </w:r>
          </w:p>
        </w:tc>
        <w:tc>
          <w:tcPr>
            <w:tcW w:w="1646" w:type="dxa"/>
            <w:tcBorders>
              <w:top w:val="nil"/>
              <w:left w:val="nil"/>
              <w:bottom w:val="single" w:sz="4" w:space="0" w:color="auto"/>
              <w:right w:val="single" w:sz="4" w:space="0" w:color="auto"/>
            </w:tcBorders>
            <w:shd w:val="clear" w:color="auto" w:fill="auto"/>
            <w:noWrap/>
            <w:vAlign w:val="bottom"/>
            <w:hideMark/>
          </w:tcPr>
          <w:p w14:paraId="253D607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22,144 </w:t>
            </w:r>
          </w:p>
        </w:tc>
      </w:tr>
      <w:tr w:rsidR="00056B81" w:rsidRPr="00476E3E" w14:paraId="31496EDA"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1C9457F"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Chronic Hepatitis B (negative)</w:t>
            </w:r>
          </w:p>
        </w:tc>
        <w:tc>
          <w:tcPr>
            <w:tcW w:w="1360" w:type="dxa"/>
            <w:tcBorders>
              <w:top w:val="nil"/>
              <w:left w:val="nil"/>
              <w:bottom w:val="single" w:sz="4" w:space="0" w:color="auto"/>
              <w:right w:val="single" w:sz="4" w:space="0" w:color="auto"/>
            </w:tcBorders>
            <w:shd w:val="clear" w:color="auto" w:fill="auto"/>
            <w:noWrap/>
            <w:vAlign w:val="bottom"/>
            <w:hideMark/>
          </w:tcPr>
          <w:p w14:paraId="117BD70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93,892 </w:t>
            </w:r>
          </w:p>
        </w:tc>
        <w:tc>
          <w:tcPr>
            <w:tcW w:w="1751" w:type="dxa"/>
            <w:tcBorders>
              <w:top w:val="nil"/>
              <w:left w:val="nil"/>
              <w:bottom w:val="single" w:sz="4" w:space="0" w:color="auto"/>
              <w:right w:val="single" w:sz="4" w:space="0" w:color="auto"/>
            </w:tcBorders>
            <w:shd w:val="clear" w:color="auto" w:fill="auto"/>
            <w:noWrap/>
            <w:vAlign w:val="bottom"/>
            <w:hideMark/>
          </w:tcPr>
          <w:p w14:paraId="56F502B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120,037 </w:t>
            </w:r>
          </w:p>
        </w:tc>
        <w:tc>
          <w:tcPr>
            <w:tcW w:w="1646" w:type="dxa"/>
            <w:tcBorders>
              <w:top w:val="nil"/>
              <w:left w:val="nil"/>
              <w:bottom w:val="single" w:sz="4" w:space="0" w:color="auto"/>
              <w:right w:val="single" w:sz="4" w:space="0" w:color="auto"/>
            </w:tcBorders>
            <w:shd w:val="clear" w:color="auto" w:fill="auto"/>
            <w:noWrap/>
            <w:vAlign w:val="bottom"/>
            <w:hideMark/>
          </w:tcPr>
          <w:p w14:paraId="10769BF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125,481 </w:t>
            </w:r>
          </w:p>
        </w:tc>
      </w:tr>
      <w:tr w:rsidR="00056B81" w:rsidRPr="00476E3E" w14:paraId="4190B110"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92E7629"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HCC cases</w:t>
            </w:r>
          </w:p>
        </w:tc>
        <w:tc>
          <w:tcPr>
            <w:tcW w:w="1360" w:type="dxa"/>
            <w:tcBorders>
              <w:top w:val="nil"/>
              <w:left w:val="nil"/>
              <w:bottom w:val="single" w:sz="4" w:space="0" w:color="auto"/>
              <w:right w:val="single" w:sz="4" w:space="0" w:color="auto"/>
            </w:tcBorders>
            <w:shd w:val="clear" w:color="auto" w:fill="auto"/>
            <w:noWrap/>
            <w:vAlign w:val="bottom"/>
            <w:hideMark/>
          </w:tcPr>
          <w:p w14:paraId="3678025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814 </w:t>
            </w:r>
          </w:p>
        </w:tc>
        <w:tc>
          <w:tcPr>
            <w:tcW w:w="1751" w:type="dxa"/>
            <w:tcBorders>
              <w:top w:val="nil"/>
              <w:left w:val="nil"/>
              <w:bottom w:val="single" w:sz="4" w:space="0" w:color="auto"/>
              <w:right w:val="single" w:sz="4" w:space="0" w:color="auto"/>
            </w:tcBorders>
            <w:shd w:val="clear" w:color="auto" w:fill="auto"/>
            <w:noWrap/>
            <w:vAlign w:val="bottom"/>
            <w:hideMark/>
          </w:tcPr>
          <w:p w14:paraId="34FEE90C"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1,727 </w:t>
            </w:r>
          </w:p>
        </w:tc>
        <w:tc>
          <w:tcPr>
            <w:tcW w:w="1646" w:type="dxa"/>
            <w:tcBorders>
              <w:top w:val="nil"/>
              <w:left w:val="nil"/>
              <w:bottom w:val="single" w:sz="4" w:space="0" w:color="auto"/>
              <w:right w:val="single" w:sz="4" w:space="0" w:color="auto"/>
            </w:tcBorders>
            <w:shd w:val="clear" w:color="auto" w:fill="auto"/>
            <w:noWrap/>
            <w:vAlign w:val="bottom"/>
            <w:hideMark/>
          </w:tcPr>
          <w:p w14:paraId="323F4D9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2,880 </w:t>
            </w:r>
          </w:p>
        </w:tc>
      </w:tr>
      <w:tr w:rsidR="00056B81" w:rsidRPr="00476E3E" w14:paraId="1931D52C"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6E57B6A"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Deaths from HCC</w:t>
            </w:r>
          </w:p>
        </w:tc>
        <w:tc>
          <w:tcPr>
            <w:tcW w:w="1360" w:type="dxa"/>
            <w:tcBorders>
              <w:top w:val="nil"/>
              <w:left w:val="nil"/>
              <w:bottom w:val="single" w:sz="4" w:space="0" w:color="auto"/>
              <w:right w:val="single" w:sz="4" w:space="0" w:color="auto"/>
            </w:tcBorders>
            <w:shd w:val="clear" w:color="auto" w:fill="auto"/>
            <w:noWrap/>
            <w:vAlign w:val="bottom"/>
            <w:hideMark/>
          </w:tcPr>
          <w:p w14:paraId="0CBC921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814 </w:t>
            </w:r>
          </w:p>
        </w:tc>
        <w:tc>
          <w:tcPr>
            <w:tcW w:w="1751" w:type="dxa"/>
            <w:tcBorders>
              <w:top w:val="nil"/>
              <w:left w:val="nil"/>
              <w:bottom w:val="single" w:sz="4" w:space="0" w:color="auto"/>
              <w:right w:val="single" w:sz="4" w:space="0" w:color="auto"/>
            </w:tcBorders>
            <w:shd w:val="clear" w:color="auto" w:fill="auto"/>
            <w:noWrap/>
            <w:vAlign w:val="bottom"/>
            <w:hideMark/>
          </w:tcPr>
          <w:p w14:paraId="393D242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1,727 </w:t>
            </w:r>
          </w:p>
        </w:tc>
        <w:tc>
          <w:tcPr>
            <w:tcW w:w="1646" w:type="dxa"/>
            <w:tcBorders>
              <w:top w:val="nil"/>
              <w:left w:val="nil"/>
              <w:bottom w:val="single" w:sz="4" w:space="0" w:color="auto"/>
              <w:right w:val="single" w:sz="4" w:space="0" w:color="auto"/>
            </w:tcBorders>
            <w:shd w:val="clear" w:color="auto" w:fill="auto"/>
            <w:noWrap/>
            <w:vAlign w:val="bottom"/>
            <w:hideMark/>
          </w:tcPr>
          <w:p w14:paraId="79A0643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2,880 </w:t>
            </w:r>
          </w:p>
        </w:tc>
      </w:tr>
      <w:tr w:rsidR="00056B81" w:rsidRPr="00476E3E" w14:paraId="3E4B4C3E"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7CBB335" w14:textId="77777777" w:rsidR="00056B81" w:rsidRPr="00476E3E" w:rsidRDefault="00056B81" w:rsidP="00056B81">
            <w:pPr>
              <w:spacing w:after="0" w:line="240" w:lineRule="auto"/>
              <w:ind w:left="0" w:firstLine="0"/>
              <w:rPr>
                <w:rFonts w:ascii="Calibri" w:hAnsi="Calibri"/>
              </w:rPr>
            </w:pPr>
            <w:r w:rsidRPr="00476E3E">
              <w:rPr>
                <w:rFonts w:ascii="Calibri" w:hAnsi="Calibri"/>
              </w:rPr>
              <w:lastRenderedPageBreak/>
              <w:t>In-patient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4CA6B0E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1,222,472 </w:t>
            </w:r>
          </w:p>
        </w:tc>
        <w:tc>
          <w:tcPr>
            <w:tcW w:w="1751" w:type="dxa"/>
            <w:tcBorders>
              <w:top w:val="nil"/>
              <w:left w:val="nil"/>
              <w:bottom w:val="single" w:sz="4" w:space="0" w:color="auto"/>
              <w:right w:val="single" w:sz="4" w:space="0" w:color="auto"/>
            </w:tcBorders>
            <w:shd w:val="clear" w:color="auto" w:fill="auto"/>
            <w:noWrap/>
            <w:vAlign w:val="bottom"/>
            <w:hideMark/>
          </w:tcPr>
          <w:p w14:paraId="31DD4DAF"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1,562,882 </w:t>
            </w:r>
          </w:p>
        </w:tc>
        <w:tc>
          <w:tcPr>
            <w:tcW w:w="1646" w:type="dxa"/>
            <w:tcBorders>
              <w:top w:val="nil"/>
              <w:left w:val="nil"/>
              <w:bottom w:val="single" w:sz="4" w:space="0" w:color="auto"/>
              <w:right w:val="single" w:sz="4" w:space="0" w:color="auto"/>
            </w:tcBorders>
            <w:shd w:val="clear" w:color="auto" w:fill="auto"/>
            <w:noWrap/>
            <w:vAlign w:val="bottom"/>
            <w:hideMark/>
          </w:tcPr>
          <w:p w14:paraId="11F9FC2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1,633,766 </w:t>
            </w:r>
          </w:p>
        </w:tc>
      </w:tr>
      <w:tr w:rsidR="00056B81" w:rsidRPr="00476E3E" w14:paraId="2DD53CE6"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9B8CBD3" w14:textId="77777777" w:rsidR="00056B81" w:rsidRPr="00476E3E" w:rsidRDefault="00056B81" w:rsidP="00056B81">
            <w:pPr>
              <w:spacing w:after="0" w:line="240" w:lineRule="auto"/>
              <w:ind w:left="0" w:firstLine="0"/>
              <w:rPr>
                <w:rFonts w:ascii="Calibri" w:hAnsi="Calibri"/>
              </w:rPr>
            </w:pPr>
            <w:r w:rsidRPr="00476E3E">
              <w:rPr>
                <w:rFonts w:ascii="Calibri" w:hAnsi="Calibri"/>
              </w:rPr>
              <w:t>Out-patient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71704DA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544,297 </w:t>
            </w:r>
          </w:p>
        </w:tc>
        <w:tc>
          <w:tcPr>
            <w:tcW w:w="1751" w:type="dxa"/>
            <w:tcBorders>
              <w:top w:val="nil"/>
              <w:left w:val="nil"/>
              <w:bottom w:val="single" w:sz="4" w:space="0" w:color="auto"/>
              <w:right w:val="single" w:sz="4" w:space="0" w:color="auto"/>
            </w:tcBorders>
            <w:shd w:val="clear" w:color="auto" w:fill="auto"/>
            <w:noWrap/>
            <w:vAlign w:val="bottom"/>
            <w:hideMark/>
          </w:tcPr>
          <w:p w14:paraId="7C60882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695,862 </w:t>
            </w:r>
          </w:p>
        </w:tc>
        <w:tc>
          <w:tcPr>
            <w:tcW w:w="1646" w:type="dxa"/>
            <w:tcBorders>
              <w:top w:val="nil"/>
              <w:left w:val="nil"/>
              <w:bottom w:val="single" w:sz="4" w:space="0" w:color="auto"/>
              <w:right w:val="single" w:sz="4" w:space="0" w:color="auto"/>
            </w:tcBorders>
            <w:shd w:val="clear" w:color="auto" w:fill="auto"/>
            <w:noWrap/>
            <w:vAlign w:val="bottom"/>
            <w:hideMark/>
          </w:tcPr>
          <w:p w14:paraId="1E54949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727,422 </w:t>
            </w:r>
          </w:p>
        </w:tc>
      </w:tr>
      <w:tr w:rsidR="00056B81" w:rsidRPr="00476E3E" w14:paraId="6B377209"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88E0770" w14:textId="77777777" w:rsidR="00056B81" w:rsidRPr="00476E3E" w:rsidRDefault="00056B81" w:rsidP="00056B81">
            <w:pPr>
              <w:spacing w:after="0" w:line="240" w:lineRule="auto"/>
              <w:ind w:left="0" w:firstLine="0"/>
              <w:rPr>
                <w:rFonts w:ascii="Calibri" w:hAnsi="Calibri"/>
              </w:rPr>
            </w:pPr>
            <w:r w:rsidRPr="00476E3E">
              <w:rPr>
                <w:rFonts w:ascii="Calibri" w:hAnsi="Calibri"/>
              </w:rPr>
              <w:t>Prescription Drugs'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2BC04342"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33,138 </w:t>
            </w:r>
          </w:p>
        </w:tc>
        <w:tc>
          <w:tcPr>
            <w:tcW w:w="1751" w:type="dxa"/>
            <w:tcBorders>
              <w:top w:val="nil"/>
              <w:left w:val="nil"/>
              <w:bottom w:val="single" w:sz="4" w:space="0" w:color="auto"/>
              <w:right w:val="single" w:sz="4" w:space="0" w:color="auto"/>
            </w:tcBorders>
            <w:shd w:val="clear" w:color="auto" w:fill="auto"/>
            <w:noWrap/>
            <w:vAlign w:val="bottom"/>
            <w:hideMark/>
          </w:tcPr>
          <w:p w14:paraId="09E1003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42,366 </w:t>
            </w:r>
          </w:p>
        </w:tc>
        <w:tc>
          <w:tcPr>
            <w:tcW w:w="1646" w:type="dxa"/>
            <w:tcBorders>
              <w:top w:val="nil"/>
              <w:left w:val="nil"/>
              <w:bottom w:val="single" w:sz="4" w:space="0" w:color="auto"/>
              <w:right w:val="single" w:sz="4" w:space="0" w:color="auto"/>
            </w:tcBorders>
            <w:shd w:val="clear" w:color="auto" w:fill="auto"/>
            <w:noWrap/>
            <w:vAlign w:val="bottom"/>
            <w:hideMark/>
          </w:tcPr>
          <w:p w14:paraId="17D1EB2A"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44,288 </w:t>
            </w:r>
          </w:p>
        </w:tc>
      </w:tr>
      <w:tr w:rsidR="00056B81" w:rsidRPr="00476E3E" w14:paraId="61C8EFE6"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91EC3E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Medical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3C4F09EE"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1,799,907 </w:t>
            </w:r>
          </w:p>
        </w:tc>
        <w:tc>
          <w:tcPr>
            <w:tcW w:w="1751" w:type="dxa"/>
            <w:tcBorders>
              <w:top w:val="nil"/>
              <w:left w:val="nil"/>
              <w:bottom w:val="single" w:sz="4" w:space="0" w:color="auto"/>
              <w:right w:val="single" w:sz="4" w:space="0" w:color="auto"/>
            </w:tcBorders>
            <w:shd w:val="clear" w:color="auto" w:fill="auto"/>
            <w:noWrap/>
            <w:vAlign w:val="bottom"/>
            <w:hideMark/>
          </w:tcPr>
          <w:p w14:paraId="3F3CB718"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2,301,109 </w:t>
            </w:r>
          </w:p>
        </w:tc>
        <w:tc>
          <w:tcPr>
            <w:tcW w:w="1646" w:type="dxa"/>
            <w:tcBorders>
              <w:top w:val="nil"/>
              <w:left w:val="nil"/>
              <w:bottom w:val="single" w:sz="4" w:space="0" w:color="auto"/>
              <w:right w:val="single" w:sz="4" w:space="0" w:color="auto"/>
            </w:tcBorders>
            <w:shd w:val="clear" w:color="auto" w:fill="auto"/>
            <w:noWrap/>
            <w:vAlign w:val="bottom"/>
            <w:hideMark/>
          </w:tcPr>
          <w:p w14:paraId="1748E013"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2,405,476 </w:t>
            </w:r>
          </w:p>
        </w:tc>
      </w:tr>
      <w:tr w:rsidR="00056B81" w:rsidRPr="00476E3E" w14:paraId="07AD2F48"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74A830D4"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Caregiver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736632E4"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146,140 </w:t>
            </w:r>
          </w:p>
        </w:tc>
        <w:tc>
          <w:tcPr>
            <w:tcW w:w="1751" w:type="dxa"/>
            <w:tcBorders>
              <w:top w:val="nil"/>
              <w:left w:val="nil"/>
              <w:bottom w:val="single" w:sz="4" w:space="0" w:color="auto"/>
              <w:right w:val="single" w:sz="4" w:space="0" w:color="auto"/>
            </w:tcBorders>
            <w:shd w:val="clear" w:color="auto" w:fill="auto"/>
            <w:noWrap/>
            <w:vAlign w:val="bottom"/>
            <w:hideMark/>
          </w:tcPr>
          <w:p w14:paraId="32BB5B0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186,834 </w:t>
            </w:r>
          </w:p>
        </w:tc>
        <w:tc>
          <w:tcPr>
            <w:tcW w:w="1646" w:type="dxa"/>
            <w:tcBorders>
              <w:top w:val="nil"/>
              <w:left w:val="nil"/>
              <w:bottom w:val="single" w:sz="4" w:space="0" w:color="auto"/>
              <w:right w:val="single" w:sz="4" w:space="0" w:color="auto"/>
            </w:tcBorders>
            <w:shd w:val="clear" w:color="auto" w:fill="auto"/>
            <w:noWrap/>
            <w:vAlign w:val="bottom"/>
            <w:hideMark/>
          </w:tcPr>
          <w:p w14:paraId="589FDB4E"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195,308 </w:t>
            </w:r>
          </w:p>
        </w:tc>
      </w:tr>
      <w:tr w:rsidR="00056B81" w:rsidRPr="00476E3E" w14:paraId="0E866911"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9FB9EDF"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Transportation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650A8FF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49,707 </w:t>
            </w:r>
          </w:p>
        </w:tc>
        <w:tc>
          <w:tcPr>
            <w:tcW w:w="1751" w:type="dxa"/>
            <w:tcBorders>
              <w:top w:val="nil"/>
              <w:left w:val="nil"/>
              <w:bottom w:val="single" w:sz="4" w:space="0" w:color="auto"/>
              <w:right w:val="single" w:sz="4" w:space="0" w:color="auto"/>
            </w:tcBorders>
            <w:shd w:val="clear" w:color="auto" w:fill="auto"/>
            <w:noWrap/>
            <w:vAlign w:val="bottom"/>
            <w:hideMark/>
          </w:tcPr>
          <w:p w14:paraId="61414D4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63,549 </w:t>
            </w:r>
          </w:p>
        </w:tc>
        <w:tc>
          <w:tcPr>
            <w:tcW w:w="1646" w:type="dxa"/>
            <w:tcBorders>
              <w:top w:val="nil"/>
              <w:left w:val="nil"/>
              <w:bottom w:val="single" w:sz="4" w:space="0" w:color="auto"/>
              <w:right w:val="single" w:sz="4" w:space="0" w:color="auto"/>
            </w:tcBorders>
            <w:shd w:val="clear" w:color="auto" w:fill="auto"/>
            <w:noWrap/>
            <w:vAlign w:val="bottom"/>
            <w:hideMark/>
          </w:tcPr>
          <w:p w14:paraId="213F254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66,431 </w:t>
            </w:r>
          </w:p>
        </w:tc>
      </w:tr>
      <w:tr w:rsidR="00056B81" w:rsidRPr="00476E3E" w14:paraId="1B6BE61C"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5797B34"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Costs of Alternative Medicine-CAM- (in US$)</w:t>
            </w:r>
          </w:p>
        </w:tc>
        <w:tc>
          <w:tcPr>
            <w:tcW w:w="1360" w:type="dxa"/>
            <w:tcBorders>
              <w:top w:val="nil"/>
              <w:left w:val="nil"/>
              <w:bottom w:val="single" w:sz="4" w:space="0" w:color="auto"/>
              <w:right w:val="single" w:sz="4" w:space="0" w:color="auto"/>
            </w:tcBorders>
            <w:shd w:val="clear" w:color="auto" w:fill="auto"/>
            <w:noWrap/>
            <w:vAlign w:val="bottom"/>
            <w:hideMark/>
          </w:tcPr>
          <w:p w14:paraId="3078656A"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16,569 </w:t>
            </w:r>
          </w:p>
        </w:tc>
        <w:tc>
          <w:tcPr>
            <w:tcW w:w="1751" w:type="dxa"/>
            <w:tcBorders>
              <w:top w:val="nil"/>
              <w:left w:val="nil"/>
              <w:bottom w:val="single" w:sz="4" w:space="0" w:color="auto"/>
              <w:right w:val="single" w:sz="4" w:space="0" w:color="auto"/>
            </w:tcBorders>
            <w:shd w:val="clear" w:color="auto" w:fill="auto"/>
            <w:noWrap/>
            <w:vAlign w:val="bottom"/>
            <w:hideMark/>
          </w:tcPr>
          <w:p w14:paraId="15D7601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15 </w:t>
            </w:r>
          </w:p>
        </w:tc>
        <w:tc>
          <w:tcPr>
            <w:tcW w:w="1646" w:type="dxa"/>
            <w:tcBorders>
              <w:top w:val="nil"/>
              <w:left w:val="nil"/>
              <w:bottom w:val="single" w:sz="4" w:space="0" w:color="auto"/>
              <w:right w:val="single" w:sz="4" w:space="0" w:color="auto"/>
            </w:tcBorders>
            <w:shd w:val="clear" w:color="auto" w:fill="auto"/>
            <w:noWrap/>
            <w:vAlign w:val="bottom"/>
            <w:hideMark/>
          </w:tcPr>
          <w:p w14:paraId="028DF7E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20 </w:t>
            </w:r>
          </w:p>
        </w:tc>
      </w:tr>
      <w:tr w:rsidR="00056B81" w:rsidRPr="00476E3E" w14:paraId="1B883B92"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5677274"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Non-medical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3C9E920D"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212,417 </w:t>
            </w:r>
          </w:p>
        </w:tc>
        <w:tc>
          <w:tcPr>
            <w:tcW w:w="1751" w:type="dxa"/>
            <w:tcBorders>
              <w:top w:val="nil"/>
              <w:left w:val="nil"/>
              <w:bottom w:val="single" w:sz="4" w:space="0" w:color="auto"/>
              <w:right w:val="single" w:sz="4" w:space="0" w:color="auto"/>
            </w:tcBorders>
            <w:shd w:val="clear" w:color="auto" w:fill="auto"/>
            <w:noWrap/>
            <w:vAlign w:val="bottom"/>
            <w:hideMark/>
          </w:tcPr>
          <w:p w14:paraId="2A55C242"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250,398 </w:t>
            </w:r>
          </w:p>
        </w:tc>
        <w:tc>
          <w:tcPr>
            <w:tcW w:w="1646" w:type="dxa"/>
            <w:tcBorders>
              <w:top w:val="nil"/>
              <w:left w:val="nil"/>
              <w:bottom w:val="single" w:sz="4" w:space="0" w:color="auto"/>
              <w:right w:val="single" w:sz="4" w:space="0" w:color="auto"/>
            </w:tcBorders>
            <w:shd w:val="clear" w:color="auto" w:fill="auto"/>
            <w:noWrap/>
            <w:vAlign w:val="bottom"/>
            <w:hideMark/>
          </w:tcPr>
          <w:p w14:paraId="370A2708"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261,759 </w:t>
            </w:r>
          </w:p>
        </w:tc>
      </w:tr>
      <w:tr w:rsidR="00056B81" w:rsidRPr="00476E3E" w14:paraId="3299290F"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4620576"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Cost-of-Illness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4F786D43"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2,012,323 </w:t>
            </w:r>
          </w:p>
        </w:tc>
        <w:tc>
          <w:tcPr>
            <w:tcW w:w="1751" w:type="dxa"/>
            <w:tcBorders>
              <w:top w:val="nil"/>
              <w:left w:val="nil"/>
              <w:bottom w:val="single" w:sz="4" w:space="0" w:color="auto"/>
              <w:right w:val="single" w:sz="4" w:space="0" w:color="auto"/>
            </w:tcBorders>
            <w:shd w:val="clear" w:color="auto" w:fill="auto"/>
            <w:noWrap/>
            <w:vAlign w:val="bottom"/>
            <w:hideMark/>
          </w:tcPr>
          <w:p w14:paraId="5A0484A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2,551,508 </w:t>
            </w:r>
          </w:p>
        </w:tc>
        <w:tc>
          <w:tcPr>
            <w:tcW w:w="1646" w:type="dxa"/>
            <w:tcBorders>
              <w:top w:val="nil"/>
              <w:left w:val="nil"/>
              <w:bottom w:val="single" w:sz="4" w:space="0" w:color="auto"/>
              <w:right w:val="single" w:sz="4" w:space="0" w:color="auto"/>
            </w:tcBorders>
            <w:shd w:val="clear" w:color="auto" w:fill="auto"/>
            <w:noWrap/>
            <w:vAlign w:val="bottom"/>
            <w:hideMark/>
          </w:tcPr>
          <w:p w14:paraId="7A629272"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2,667,235 </w:t>
            </w:r>
          </w:p>
        </w:tc>
      </w:tr>
      <w:tr w:rsidR="00056B81" w:rsidRPr="00476E3E" w14:paraId="6CB00802"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8C8F1DA"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Economic Loss (in US$)</w:t>
            </w:r>
          </w:p>
        </w:tc>
        <w:tc>
          <w:tcPr>
            <w:tcW w:w="1360" w:type="dxa"/>
            <w:tcBorders>
              <w:top w:val="nil"/>
              <w:left w:val="nil"/>
              <w:bottom w:val="single" w:sz="4" w:space="0" w:color="auto"/>
              <w:right w:val="single" w:sz="4" w:space="0" w:color="auto"/>
            </w:tcBorders>
            <w:shd w:val="clear" w:color="auto" w:fill="auto"/>
            <w:noWrap/>
            <w:vAlign w:val="bottom"/>
            <w:hideMark/>
          </w:tcPr>
          <w:p w14:paraId="0FF30407"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111,340,910 </w:t>
            </w:r>
          </w:p>
        </w:tc>
        <w:tc>
          <w:tcPr>
            <w:tcW w:w="1751" w:type="dxa"/>
            <w:tcBorders>
              <w:top w:val="nil"/>
              <w:left w:val="nil"/>
              <w:bottom w:val="single" w:sz="4" w:space="0" w:color="auto"/>
              <w:right w:val="single" w:sz="4" w:space="0" w:color="auto"/>
            </w:tcBorders>
            <w:shd w:val="clear" w:color="auto" w:fill="auto"/>
            <w:noWrap/>
            <w:vAlign w:val="bottom"/>
            <w:hideMark/>
          </w:tcPr>
          <w:p w14:paraId="78EE2D1F"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142,344,930 </w:t>
            </w:r>
          </w:p>
        </w:tc>
        <w:tc>
          <w:tcPr>
            <w:tcW w:w="1646" w:type="dxa"/>
            <w:tcBorders>
              <w:top w:val="nil"/>
              <w:left w:val="nil"/>
              <w:bottom w:val="single" w:sz="4" w:space="0" w:color="auto"/>
              <w:right w:val="single" w:sz="4" w:space="0" w:color="auto"/>
            </w:tcBorders>
            <w:shd w:val="clear" w:color="auto" w:fill="auto"/>
            <w:noWrap/>
            <w:vAlign w:val="bottom"/>
            <w:hideMark/>
          </w:tcPr>
          <w:p w14:paraId="64460162"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148,800,951 </w:t>
            </w:r>
          </w:p>
        </w:tc>
      </w:tr>
      <w:tr w:rsidR="00056B81" w:rsidRPr="00476E3E" w14:paraId="34CAFE1C"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83014C9" w14:textId="77777777" w:rsidR="00056B81" w:rsidRPr="00476E3E" w:rsidRDefault="00056B81" w:rsidP="00056B81">
            <w:pPr>
              <w:spacing w:after="0" w:line="240" w:lineRule="auto"/>
              <w:ind w:left="0" w:firstLine="0"/>
              <w:rPr>
                <w:rFonts w:ascii="Calibri" w:hAnsi="Calibri"/>
              </w:rPr>
            </w:pPr>
            <w:r w:rsidRPr="00476E3E">
              <w:rPr>
                <w:rFonts w:ascii="Calibri" w:hAnsi="Calibri"/>
              </w:rPr>
              <w:t>* Discounted at 3%</w:t>
            </w:r>
          </w:p>
        </w:tc>
        <w:tc>
          <w:tcPr>
            <w:tcW w:w="1360" w:type="dxa"/>
            <w:tcBorders>
              <w:top w:val="nil"/>
              <w:left w:val="nil"/>
              <w:bottom w:val="single" w:sz="4" w:space="0" w:color="auto"/>
              <w:right w:val="single" w:sz="4" w:space="0" w:color="auto"/>
            </w:tcBorders>
            <w:shd w:val="clear" w:color="auto" w:fill="auto"/>
            <w:noWrap/>
            <w:vAlign w:val="bottom"/>
            <w:hideMark/>
          </w:tcPr>
          <w:p w14:paraId="279A37C4" w14:textId="77777777" w:rsidR="00056B81" w:rsidRPr="00476E3E" w:rsidRDefault="00056B81" w:rsidP="00056B81">
            <w:pPr>
              <w:spacing w:after="0" w:line="240" w:lineRule="auto"/>
              <w:ind w:left="0" w:firstLine="0"/>
              <w:rPr>
                <w:rFonts w:ascii="Calibri" w:hAnsi="Calibri"/>
              </w:rPr>
            </w:pPr>
            <w:r w:rsidRPr="00476E3E">
              <w:rPr>
                <w:rFonts w:ascii="Calibri" w:hAnsi="Calibri"/>
              </w:rPr>
              <w:t> </w:t>
            </w:r>
          </w:p>
        </w:tc>
        <w:tc>
          <w:tcPr>
            <w:tcW w:w="1751" w:type="dxa"/>
            <w:tcBorders>
              <w:top w:val="nil"/>
              <w:left w:val="nil"/>
              <w:bottom w:val="single" w:sz="4" w:space="0" w:color="auto"/>
              <w:right w:val="single" w:sz="4" w:space="0" w:color="auto"/>
            </w:tcBorders>
            <w:shd w:val="clear" w:color="auto" w:fill="auto"/>
            <w:noWrap/>
            <w:vAlign w:val="bottom"/>
            <w:hideMark/>
          </w:tcPr>
          <w:p w14:paraId="625A1E63" w14:textId="77777777" w:rsidR="00056B81" w:rsidRPr="00476E3E" w:rsidRDefault="00056B81" w:rsidP="00056B81">
            <w:pPr>
              <w:spacing w:after="0" w:line="240" w:lineRule="auto"/>
              <w:ind w:left="0" w:firstLine="0"/>
              <w:rPr>
                <w:rFonts w:ascii="Calibri" w:hAnsi="Calibri"/>
              </w:rPr>
            </w:pPr>
            <w:r w:rsidRPr="00476E3E">
              <w:rPr>
                <w:rFonts w:ascii="Calibri" w:hAnsi="Calibri"/>
              </w:rPr>
              <w:t> </w:t>
            </w:r>
          </w:p>
        </w:tc>
        <w:tc>
          <w:tcPr>
            <w:tcW w:w="1646" w:type="dxa"/>
            <w:tcBorders>
              <w:top w:val="nil"/>
              <w:left w:val="nil"/>
              <w:bottom w:val="single" w:sz="4" w:space="0" w:color="auto"/>
              <w:right w:val="single" w:sz="4" w:space="0" w:color="auto"/>
            </w:tcBorders>
            <w:shd w:val="clear" w:color="auto" w:fill="auto"/>
            <w:noWrap/>
            <w:vAlign w:val="bottom"/>
            <w:hideMark/>
          </w:tcPr>
          <w:p w14:paraId="364CA10B" w14:textId="77777777" w:rsidR="00056B81" w:rsidRPr="00476E3E" w:rsidRDefault="00056B81" w:rsidP="00056B81">
            <w:pPr>
              <w:spacing w:after="0" w:line="240" w:lineRule="auto"/>
              <w:ind w:left="0" w:firstLine="0"/>
              <w:rPr>
                <w:rFonts w:ascii="Calibri" w:hAnsi="Calibri"/>
              </w:rPr>
            </w:pPr>
            <w:r w:rsidRPr="00476E3E">
              <w:rPr>
                <w:rFonts w:ascii="Calibri" w:hAnsi="Calibri"/>
              </w:rPr>
              <w:t> </w:t>
            </w:r>
          </w:p>
        </w:tc>
      </w:tr>
    </w:tbl>
    <w:p w14:paraId="75C63D12" w14:textId="77777777" w:rsidR="00056B81" w:rsidRDefault="00056B81" w:rsidP="00492AEF">
      <w:pPr>
        <w:spacing w:after="0" w:line="480" w:lineRule="auto"/>
        <w:ind w:left="-6" w:hanging="11"/>
        <w:jc w:val="both"/>
      </w:pPr>
    </w:p>
    <w:p w14:paraId="61FE4F2D" w14:textId="001C6B5F" w:rsidR="006F7A63" w:rsidRDefault="00264C06" w:rsidP="006F7A63">
      <w:pPr>
        <w:jc w:val="both"/>
        <w:rPr>
          <w:rFonts w:ascii="Calibri" w:hAnsi="Calibri"/>
        </w:rPr>
      </w:pPr>
      <w:r w:rsidRPr="00901129">
        <w:rPr>
          <w:rFonts w:ascii="Calibri" w:hAnsi="Calibri"/>
        </w:rPr>
        <w:t>* Discounted at 3%</w:t>
      </w:r>
    </w:p>
    <w:p w14:paraId="4C47AA2F" w14:textId="77777777" w:rsidR="006049E6" w:rsidRDefault="006049E6" w:rsidP="006F7A63">
      <w:pPr>
        <w:jc w:val="both"/>
        <w:rPr>
          <w:rFonts w:ascii="Calibri" w:hAnsi="Calibri"/>
        </w:rPr>
      </w:pPr>
    </w:p>
    <w:p w14:paraId="0ADF6FF7" w14:textId="240CF3B8" w:rsidR="006049E6" w:rsidRPr="00AE40F7" w:rsidRDefault="006049E6" w:rsidP="006049E6">
      <w:pPr>
        <w:spacing w:line="360" w:lineRule="auto"/>
        <w:ind w:left="-6" w:hanging="11"/>
        <w:jc w:val="both"/>
        <w:rPr>
          <w:rFonts w:ascii="Calibri" w:hAnsi="Calibri"/>
          <w:bCs/>
        </w:rPr>
      </w:pPr>
      <w:r>
        <w:t>The female children population modelled in this study had a median of 138,585</w:t>
      </w:r>
      <w:r w:rsidR="0015235D">
        <w:t xml:space="preserve"> </w:t>
      </w:r>
      <w:r>
        <w:t>(</w:t>
      </w:r>
      <w:r w:rsidR="0015235D">
        <w:t>Table 12</w:t>
      </w:r>
      <w:r>
        <w:t xml:space="preserve">). From a median of </w:t>
      </w:r>
      <w:r w:rsidR="003B517D" w:rsidRPr="00476E3E">
        <w:rPr>
          <w:rFonts w:ascii="Calibri" w:hAnsi="Calibri"/>
        </w:rPr>
        <w:t>20,788</w:t>
      </w:r>
      <w:r>
        <w:t xml:space="preserve"> positive chronic Hepatitis B cases, </w:t>
      </w:r>
      <w:r w:rsidR="003B517D" w:rsidRPr="00476E3E">
        <w:rPr>
          <w:rFonts w:ascii="Calibri" w:hAnsi="Calibri"/>
        </w:rPr>
        <w:t>1,695</w:t>
      </w:r>
      <w:r>
        <w:t xml:space="preserve"> wil</w:t>
      </w:r>
      <w:r w:rsidRPr="001C0E90">
        <w:t xml:space="preserve">l develop HCC </w:t>
      </w:r>
      <w:r>
        <w:t>which will</w:t>
      </w:r>
      <w:r w:rsidRPr="001C0E90">
        <w:t xml:space="preserve"> result to death within the year. From this, morbidity and mortality a total of </w:t>
      </w:r>
      <w:r>
        <w:t>2</w:t>
      </w:r>
      <w:r w:rsidR="003B517D">
        <w:t>7</w:t>
      </w:r>
      <w:r>
        <w:t>8,</w:t>
      </w:r>
      <w:r w:rsidR="003B517D">
        <w:t>265</w:t>
      </w:r>
      <w:r w:rsidRPr="001C0E90">
        <w:t xml:space="preserve"> DALYs (discounted at 3%) would be lost equivalent to US$ </w:t>
      </w:r>
      <w:r>
        <w:t>1</w:t>
      </w:r>
      <w:r w:rsidR="003B517D">
        <w:t>39</w:t>
      </w:r>
      <w:r>
        <w:t>,</w:t>
      </w:r>
      <w:r w:rsidR="003B517D">
        <w:t>688</w:t>
      </w:r>
      <w:r>
        <w:t>,9</w:t>
      </w:r>
      <w:r w:rsidR="003B517D">
        <w:t>4</w:t>
      </w:r>
      <w:r>
        <w:t>0</w:t>
      </w:r>
      <w:r w:rsidRPr="001C0E90">
        <w:t xml:space="preserve"> worth of GDP</w:t>
      </w:r>
      <w:r>
        <w:t xml:space="preserve">. Total medical cost amount to a median of US$ </w:t>
      </w:r>
      <w:r w:rsidR="003B517D" w:rsidRPr="00AE40F7">
        <w:rPr>
          <w:rFonts w:ascii="Calibri" w:hAnsi="Calibri"/>
          <w:bCs/>
        </w:rPr>
        <w:t>2,258,173</w:t>
      </w:r>
      <w:r>
        <w:rPr>
          <w:rFonts w:ascii="Calibri" w:hAnsi="Calibri"/>
          <w:bCs/>
        </w:rPr>
        <w:t xml:space="preserve"> </w:t>
      </w:r>
      <w:r>
        <w:t xml:space="preserve">while non-medical is US$ </w:t>
      </w:r>
      <w:r w:rsidR="003B517D" w:rsidRPr="00AE40F7">
        <w:rPr>
          <w:rFonts w:ascii="Calibri" w:hAnsi="Calibri"/>
          <w:bCs/>
        </w:rPr>
        <w:t>245,726</w:t>
      </w:r>
      <w:r>
        <w:rPr>
          <w:rFonts w:ascii="Calibri" w:hAnsi="Calibri"/>
          <w:bCs/>
        </w:rPr>
        <w:t>.</w:t>
      </w:r>
    </w:p>
    <w:p w14:paraId="7458B9DE" w14:textId="77777777" w:rsidR="006049E6" w:rsidRDefault="006049E6" w:rsidP="006F7A63">
      <w:pPr>
        <w:jc w:val="both"/>
        <w:rPr>
          <w:rFonts w:ascii="Calibri" w:hAnsi="Calibri"/>
        </w:rPr>
      </w:pPr>
    </w:p>
    <w:p w14:paraId="01BDD7DB" w14:textId="0CE81BCD" w:rsidR="00056B81" w:rsidRDefault="00056B81" w:rsidP="006F7A63">
      <w:pPr>
        <w:jc w:val="both"/>
        <w:rPr>
          <w:rFonts w:ascii="Calibri" w:hAnsi="Calibri"/>
        </w:rPr>
      </w:pPr>
      <w:r>
        <w:rPr>
          <w:rFonts w:ascii="Calibri" w:hAnsi="Calibri"/>
        </w:rPr>
        <w:t xml:space="preserve">Table 12. </w:t>
      </w:r>
      <w:r>
        <w:t>Economic and epidemiological values for children female population (US$)</w:t>
      </w:r>
    </w:p>
    <w:tbl>
      <w:tblPr>
        <w:tblW w:w="9245" w:type="dxa"/>
        <w:tblInd w:w="108" w:type="dxa"/>
        <w:tblLook w:val="04A0" w:firstRow="1" w:lastRow="0" w:firstColumn="1" w:lastColumn="0" w:noHBand="0" w:noVBand="1"/>
      </w:tblPr>
      <w:tblGrid>
        <w:gridCol w:w="4488"/>
        <w:gridCol w:w="1360"/>
        <w:gridCol w:w="1751"/>
        <w:gridCol w:w="1646"/>
      </w:tblGrid>
      <w:tr w:rsidR="00056B81" w:rsidRPr="00476E3E" w14:paraId="27227639" w14:textId="77777777" w:rsidTr="00056B81">
        <w:trPr>
          <w:trHeight w:val="300"/>
        </w:trPr>
        <w:tc>
          <w:tcPr>
            <w:tcW w:w="9245"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55709DE"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Children Female Population (0-14)</w:t>
            </w:r>
          </w:p>
        </w:tc>
      </w:tr>
      <w:tr w:rsidR="00056B81" w:rsidRPr="00476E3E" w14:paraId="6FB609DB" w14:textId="77777777" w:rsidTr="00056B81">
        <w:trPr>
          <w:trHeight w:val="300"/>
        </w:trPr>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E23D3" w14:textId="77777777" w:rsidR="00056B81" w:rsidRPr="00476E3E" w:rsidRDefault="00056B81" w:rsidP="00056B81">
            <w:pPr>
              <w:spacing w:after="0" w:line="240" w:lineRule="auto"/>
              <w:ind w:left="0" w:firstLine="0"/>
              <w:rPr>
                <w:rFonts w:ascii="Calibri" w:hAnsi="Calibri"/>
              </w:rPr>
            </w:pPr>
            <w:r w:rsidRPr="00476E3E">
              <w:rPr>
                <w:rFonts w:ascii="Calibri" w:hAnsi="Calibri"/>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513B8E"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1st Quartile</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7A66919F"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Median</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4BED7533" w14:textId="77777777" w:rsidR="00056B81" w:rsidRPr="002B2C64" w:rsidRDefault="00056B81" w:rsidP="00056B81">
            <w:pPr>
              <w:spacing w:after="0" w:line="240" w:lineRule="auto"/>
              <w:ind w:left="0" w:firstLine="0"/>
              <w:jc w:val="center"/>
              <w:rPr>
                <w:rFonts w:ascii="Calibri" w:hAnsi="Calibri"/>
                <w:bCs/>
              </w:rPr>
            </w:pPr>
            <w:r w:rsidRPr="002B2C64">
              <w:rPr>
                <w:rFonts w:ascii="Calibri" w:hAnsi="Calibri"/>
                <w:bCs/>
              </w:rPr>
              <w:t>3rd Quartile</w:t>
            </w:r>
          </w:p>
        </w:tc>
      </w:tr>
      <w:tr w:rsidR="00056B81" w:rsidRPr="00476E3E" w14:paraId="7ECB9E55"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5A4F8B7"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Population</w:t>
            </w:r>
          </w:p>
        </w:tc>
        <w:tc>
          <w:tcPr>
            <w:tcW w:w="1360" w:type="dxa"/>
            <w:tcBorders>
              <w:top w:val="nil"/>
              <w:left w:val="nil"/>
              <w:bottom w:val="single" w:sz="4" w:space="0" w:color="auto"/>
              <w:right w:val="single" w:sz="4" w:space="0" w:color="auto"/>
            </w:tcBorders>
            <w:shd w:val="clear" w:color="auto" w:fill="auto"/>
            <w:noWrap/>
            <w:vAlign w:val="bottom"/>
            <w:hideMark/>
          </w:tcPr>
          <w:p w14:paraId="14E65C86"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109,635 </w:t>
            </w:r>
          </w:p>
        </w:tc>
        <w:tc>
          <w:tcPr>
            <w:tcW w:w="1751" w:type="dxa"/>
            <w:tcBorders>
              <w:top w:val="nil"/>
              <w:left w:val="nil"/>
              <w:bottom w:val="single" w:sz="4" w:space="0" w:color="auto"/>
              <w:right w:val="single" w:sz="4" w:space="0" w:color="auto"/>
            </w:tcBorders>
            <w:shd w:val="clear" w:color="auto" w:fill="auto"/>
            <w:noWrap/>
            <w:vAlign w:val="bottom"/>
            <w:hideMark/>
          </w:tcPr>
          <w:p w14:paraId="64784490"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138,585 </w:t>
            </w:r>
          </w:p>
        </w:tc>
        <w:tc>
          <w:tcPr>
            <w:tcW w:w="1646" w:type="dxa"/>
            <w:tcBorders>
              <w:top w:val="nil"/>
              <w:left w:val="nil"/>
              <w:bottom w:val="single" w:sz="4" w:space="0" w:color="auto"/>
              <w:right w:val="single" w:sz="4" w:space="0" w:color="auto"/>
            </w:tcBorders>
            <w:shd w:val="clear" w:color="auto" w:fill="auto"/>
            <w:noWrap/>
            <w:vAlign w:val="bottom"/>
            <w:hideMark/>
          </w:tcPr>
          <w:p w14:paraId="74EB37E1"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143,941 </w:t>
            </w:r>
          </w:p>
        </w:tc>
      </w:tr>
      <w:tr w:rsidR="00056B81" w:rsidRPr="00476E3E" w14:paraId="659A0B0C"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4861CC9"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DALYs*</w:t>
            </w:r>
          </w:p>
        </w:tc>
        <w:tc>
          <w:tcPr>
            <w:tcW w:w="1360" w:type="dxa"/>
            <w:tcBorders>
              <w:top w:val="nil"/>
              <w:left w:val="nil"/>
              <w:bottom w:val="single" w:sz="4" w:space="0" w:color="auto"/>
              <w:right w:val="single" w:sz="4" w:space="0" w:color="auto"/>
            </w:tcBorders>
            <w:shd w:val="clear" w:color="auto" w:fill="auto"/>
            <w:noWrap/>
            <w:vAlign w:val="bottom"/>
            <w:hideMark/>
          </w:tcPr>
          <w:p w14:paraId="080B393E"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220,136.12 </w:t>
            </w:r>
          </w:p>
        </w:tc>
        <w:tc>
          <w:tcPr>
            <w:tcW w:w="1751" w:type="dxa"/>
            <w:tcBorders>
              <w:top w:val="nil"/>
              <w:left w:val="nil"/>
              <w:bottom w:val="single" w:sz="4" w:space="0" w:color="auto"/>
              <w:right w:val="single" w:sz="4" w:space="0" w:color="auto"/>
            </w:tcBorders>
            <w:shd w:val="clear" w:color="auto" w:fill="auto"/>
            <w:noWrap/>
            <w:vAlign w:val="bottom"/>
            <w:hideMark/>
          </w:tcPr>
          <w:p w14:paraId="319FBA6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278,265 </w:t>
            </w:r>
          </w:p>
        </w:tc>
        <w:tc>
          <w:tcPr>
            <w:tcW w:w="1646" w:type="dxa"/>
            <w:tcBorders>
              <w:top w:val="nil"/>
              <w:left w:val="nil"/>
              <w:bottom w:val="single" w:sz="4" w:space="0" w:color="auto"/>
              <w:right w:val="single" w:sz="4" w:space="0" w:color="auto"/>
            </w:tcBorders>
            <w:shd w:val="clear" w:color="auto" w:fill="auto"/>
            <w:noWrap/>
            <w:vAlign w:val="bottom"/>
            <w:hideMark/>
          </w:tcPr>
          <w:p w14:paraId="57BF6BDE"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289,019 </w:t>
            </w:r>
          </w:p>
        </w:tc>
      </w:tr>
      <w:tr w:rsidR="00056B81" w:rsidRPr="00476E3E" w14:paraId="3B56BBCB"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1A6BEA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Monetized DALYs§</w:t>
            </w:r>
          </w:p>
        </w:tc>
        <w:tc>
          <w:tcPr>
            <w:tcW w:w="1360" w:type="dxa"/>
            <w:tcBorders>
              <w:top w:val="nil"/>
              <w:left w:val="nil"/>
              <w:bottom w:val="single" w:sz="4" w:space="0" w:color="auto"/>
              <w:right w:val="single" w:sz="4" w:space="0" w:color="auto"/>
            </w:tcBorders>
            <w:shd w:val="clear" w:color="auto" w:fill="auto"/>
            <w:noWrap/>
            <w:vAlign w:val="bottom"/>
            <w:hideMark/>
          </w:tcPr>
          <w:p w14:paraId="54EDBB3A"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110,508,330 </w:t>
            </w:r>
          </w:p>
        </w:tc>
        <w:tc>
          <w:tcPr>
            <w:tcW w:w="1751" w:type="dxa"/>
            <w:tcBorders>
              <w:top w:val="nil"/>
              <w:left w:val="nil"/>
              <w:bottom w:val="single" w:sz="4" w:space="0" w:color="auto"/>
              <w:right w:val="single" w:sz="4" w:space="0" w:color="auto"/>
            </w:tcBorders>
            <w:shd w:val="clear" w:color="auto" w:fill="auto"/>
            <w:noWrap/>
            <w:vAlign w:val="bottom"/>
            <w:hideMark/>
          </w:tcPr>
          <w:p w14:paraId="3F348BBE"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139,688,940 </w:t>
            </w:r>
          </w:p>
        </w:tc>
        <w:tc>
          <w:tcPr>
            <w:tcW w:w="1646" w:type="dxa"/>
            <w:tcBorders>
              <w:top w:val="nil"/>
              <w:left w:val="nil"/>
              <w:bottom w:val="single" w:sz="4" w:space="0" w:color="auto"/>
              <w:right w:val="single" w:sz="4" w:space="0" w:color="auto"/>
            </w:tcBorders>
            <w:shd w:val="clear" w:color="auto" w:fill="auto"/>
            <w:noWrap/>
            <w:vAlign w:val="bottom"/>
            <w:hideMark/>
          </w:tcPr>
          <w:p w14:paraId="5DE1D289"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145,087,605 </w:t>
            </w:r>
          </w:p>
        </w:tc>
      </w:tr>
      <w:tr w:rsidR="00056B81" w:rsidRPr="00476E3E" w14:paraId="48EFD838"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96F356A" w14:textId="77777777" w:rsidR="00056B81" w:rsidRPr="00476E3E" w:rsidRDefault="00056B81" w:rsidP="00056B81">
            <w:pPr>
              <w:spacing w:after="0" w:line="240" w:lineRule="auto"/>
              <w:ind w:left="0" w:firstLine="0"/>
              <w:rPr>
                <w:rFonts w:ascii="Calibri" w:hAnsi="Calibri"/>
              </w:rPr>
            </w:pPr>
            <w:r w:rsidRPr="00476E3E">
              <w:rPr>
                <w:rFonts w:ascii="Calibri" w:hAnsi="Calibri"/>
              </w:rPr>
              <w:lastRenderedPageBreak/>
              <w:t>Total Chronic Hepatitis B (positive)</w:t>
            </w:r>
          </w:p>
        </w:tc>
        <w:tc>
          <w:tcPr>
            <w:tcW w:w="1360" w:type="dxa"/>
            <w:tcBorders>
              <w:top w:val="nil"/>
              <w:left w:val="nil"/>
              <w:bottom w:val="single" w:sz="4" w:space="0" w:color="auto"/>
              <w:right w:val="single" w:sz="4" w:space="0" w:color="auto"/>
            </w:tcBorders>
            <w:shd w:val="clear" w:color="auto" w:fill="auto"/>
            <w:noWrap/>
            <w:vAlign w:val="bottom"/>
            <w:hideMark/>
          </w:tcPr>
          <w:p w14:paraId="0A60CEBF"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16,445 </w:t>
            </w:r>
          </w:p>
        </w:tc>
        <w:tc>
          <w:tcPr>
            <w:tcW w:w="1751" w:type="dxa"/>
            <w:tcBorders>
              <w:top w:val="nil"/>
              <w:left w:val="nil"/>
              <w:bottom w:val="single" w:sz="4" w:space="0" w:color="auto"/>
              <w:right w:val="single" w:sz="4" w:space="0" w:color="auto"/>
            </w:tcBorders>
            <w:shd w:val="clear" w:color="auto" w:fill="auto"/>
            <w:noWrap/>
            <w:vAlign w:val="bottom"/>
            <w:hideMark/>
          </w:tcPr>
          <w:p w14:paraId="3EE82172"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20,788 </w:t>
            </w:r>
          </w:p>
        </w:tc>
        <w:tc>
          <w:tcPr>
            <w:tcW w:w="1646" w:type="dxa"/>
            <w:tcBorders>
              <w:top w:val="nil"/>
              <w:left w:val="nil"/>
              <w:bottom w:val="single" w:sz="4" w:space="0" w:color="auto"/>
              <w:right w:val="single" w:sz="4" w:space="0" w:color="auto"/>
            </w:tcBorders>
            <w:shd w:val="clear" w:color="auto" w:fill="auto"/>
            <w:noWrap/>
            <w:vAlign w:val="bottom"/>
            <w:hideMark/>
          </w:tcPr>
          <w:p w14:paraId="6A57E4C2"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21,591 </w:t>
            </w:r>
          </w:p>
        </w:tc>
      </w:tr>
      <w:tr w:rsidR="00056B81" w:rsidRPr="00476E3E" w14:paraId="7407DB4B"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446ABD8"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Chronic Hepatitis B (negative)</w:t>
            </w:r>
          </w:p>
        </w:tc>
        <w:tc>
          <w:tcPr>
            <w:tcW w:w="1360" w:type="dxa"/>
            <w:tcBorders>
              <w:top w:val="nil"/>
              <w:left w:val="nil"/>
              <w:bottom w:val="single" w:sz="4" w:space="0" w:color="auto"/>
              <w:right w:val="single" w:sz="4" w:space="0" w:color="auto"/>
            </w:tcBorders>
            <w:shd w:val="clear" w:color="auto" w:fill="auto"/>
            <w:noWrap/>
            <w:vAlign w:val="bottom"/>
            <w:hideMark/>
          </w:tcPr>
          <w:p w14:paraId="163B4C9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93,190 </w:t>
            </w:r>
          </w:p>
        </w:tc>
        <w:tc>
          <w:tcPr>
            <w:tcW w:w="1751" w:type="dxa"/>
            <w:tcBorders>
              <w:top w:val="nil"/>
              <w:left w:val="nil"/>
              <w:bottom w:val="single" w:sz="4" w:space="0" w:color="auto"/>
              <w:right w:val="single" w:sz="4" w:space="0" w:color="auto"/>
            </w:tcBorders>
            <w:shd w:val="clear" w:color="auto" w:fill="auto"/>
            <w:noWrap/>
            <w:vAlign w:val="bottom"/>
            <w:hideMark/>
          </w:tcPr>
          <w:p w14:paraId="7BF635DC"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117,797 </w:t>
            </w:r>
          </w:p>
        </w:tc>
        <w:tc>
          <w:tcPr>
            <w:tcW w:w="1646" w:type="dxa"/>
            <w:tcBorders>
              <w:top w:val="nil"/>
              <w:left w:val="nil"/>
              <w:bottom w:val="single" w:sz="4" w:space="0" w:color="auto"/>
              <w:right w:val="single" w:sz="4" w:space="0" w:color="auto"/>
            </w:tcBorders>
            <w:shd w:val="clear" w:color="auto" w:fill="auto"/>
            <w:noWrap/>
            <w:vAlign w:val="bottom"/>
            <w:hideMark/>
          </w:tcPr>
          <w:p w14:paraId="2F7D468A"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122,350 </w:t>
            </w:r>
          </w:p>
        </w:tc>
      </w:tr>
      <w:tr w:rsidR="00056B81" w:rsidRPr="00476E3E" w14:paraId="50458820"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C74D12B"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HCC cases</w:t>
            </w:r>
          </w:p>
        </w:tc>
        <w:tc>
          <w:tcPr>
            <w:tcW w:w="1360" w:type="dxa"/>
            <w:tcBorders>
              <w:top w:val="nil"/>
              <w:left w:val="nil"/>
              <w:bottom w:val="single" w:sz="4" w:space="0" w:color="auto"/>
              <w:right w:val="single" w:sz="4" w:space="0" w:color="auto"/>
            </w:tcBorders>
            <w:shd w:val="clear" w:color="auto" w:fill="auto"/>
            <w:noWrap/>
            <w:vAlign w:val="bottom"/>
            <w:hideMark/>
          </w:tcPr>
          <w:p w14:paraId="5889417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808.04 </w:t>
            </w:r>
          </w:p>
        </w:tc>
        <w:tc>
          <w:tcPr>
            <w:tcW w:w="1751" w:type="dxa"/>
            <w:tcBorders>
              <w:top w:val="nil"/>
              <w:left w:val="nil"/>
              <w:bottom w:val="single" w:sz="4" w:space="0" w:color="auto"/>
              <w:right w:val="single" w:sz="4" w:space="0" w:color="auto"/>
            </w:tcBorders>
            <w:shd w:val="clear" w:color="auto" w:fill="auto"/>
            <w:noWrap/>
            <w:vAlign w:val="bottom"/>
            <w:hideMark/>
          </w:tcPr>
          <w:p w14:paraId="24A0C919"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1,695 </w:t>
            </w:r>
          </w:p>
        </w:tc>
        <w:tc>
          <w:tcPr>
            <w:tcW w:w="1646" w:type="dxa"/>
            <w:tcBorders>
              <w:top w:val="nil"/>
              <w:left w:val="nil"/>
              <w:bottom w:val="single" w:sz="4" w:space="0" w:color="auto"/>
              <w:right w:val="single" w:sz="4" w:space="0" w:color="auto"/>
            </w:tcBorders>
            <w:shd w:val="clear" w:color="auto" w:fill="auto"/>
            <w:noWrap/>
            <w:vAlign w:val="bottom"/>
            <w:hideMark/>
          </w:tcPr>
          <w:p w14:paraId="474F824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2,808.30 </w:t>
            </w:r>
          </w:p>
        </w:tc>
      </w:tr>
      <w:tr w:rsidR="00056B81" w:rsidRPr="00476E3E" w14:paraId="059C3B4D"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6842585"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Deaths from HCC</w:t>
            </w:r>
          </w:p>
        </w:tc>
        <w:tc>
          <w:tcPr>
            <w:tcW w:w="1360" w:type="dxa"/>
            <w:tcBorders>
              <w:top w:val="nil"/>
              <w:left w:val="nil"/>
              <w:bottom w:val="single" w:sz="4" w:space="0" w:color="auto"/>
              <w:right w:val="single" w:sz="4" w:space="0" w:color="auto"/>
            </w:tcBorders>
            <w:shd w:val="clear" w:color="auto" w:fill="auto"/>
            <w:noWrap/>
            <w:vAlign w:val="bottom"/>
            <w:hideMark/>
          </w:tcPr>
          <w:p w14:paraId="66A0166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808 </w:t>
            </w:r>
          </w:p>
        </w:tc>
        <w:tc>
          <w:tcPr>
            <w:tcW w:w="1751" w:type="dxa"/>
            <w:tcBorders>
              <w:top w:val="nil"/>
              <w:left w:val="nil"/>
              <w:bottom w:val="single" w:sz="4" w:space="0" w:color="auto"/>
              <w:right w:val="single" w:sz="4" w:space="0" w:color="auto"/>
            </w:tcBorders>
            <w:shd w:val="clear" w:color="auto" w:fill="auto"/>
            <w:noWrap/>
            <w:vAlign w:val="bottom"/>
            <w:hideMark/>
          </w:tcPr>
          <w:p w14:paraId="2687C13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1,695 </w:t>
            </w:r>
          </w:p>
        </w:tc>
        <w:tc>
          <w:tcPr>
            <w:tcW w:w="1646" w:type="dxa"/>
            <w:tcBorders>
              <w:top w:val="nil"/>
              <w:left w:val="nil"/>
              <w:bottom w:val="single" w:sz="4" w:space="0" w:color="auto"/>
              <w:right w:val="single" w:sz="4" w:space="0" w:color="auto"/>
            </w:tcBorders>
            <w:shd w:val="clear" w:color="auto" w:fill="auto"/>
            <w:noWrap/>
            <w:vAlign w:val="bottom"/>
            <w:hideMark/>
          </w:tcPr>
          <w:p w14:paraId="410C080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2,808 </w:t>
            </w:r>
          </w:p>
        </w:tc>
      </w:tr>
      <w:tr w:rsidR="00056B81" w:rsidRPr="00476E3E" w14:paraId="378FF464"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59BB524" w14:textId="77777777" w:rsidR="00056B81" w:rsidRPr="00476E3E" w:rsidRDefault="00056B81" w:rsidP="00056B81">
            <w:pPr>
              <w:spacing w:after="0" w:line="240" w:lineRule="auto"/>
              <w:ind w:left="0" w:firstLine="0"/>
              <w:rPr>
                <w:rFonts w:ascii="Calibri" w:hAnsi="Calibri"/>
              </w:rPr>
            </w:pPr>
            <w:r w:rsidRPr="00476E3E">
              <w:rPr>
                <w:rFonts w:ascii="Calibri" w:hAnsi="Calibri"/>
              </w:rPr>
              <w:t>In-patient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5180FA72"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1,213,331 </w:t>
            </w:r>
          </w:p>
        </w:tc>
        <w:tc>
          <w:tcPr>
            <w:tcW w:w="1751" w:type="dxa"/>
            <w:tcBorders>
              <w:top w:val="nil"/>
              <w:left w:val="nil"/>
              <w:bottom w:val="single" w:sz="4" w:space="0" w:color="auto"/>
              <w:right w:val="single" w:sz="4" w:space="0" w:color="auto"/>
            </w:tcBorders>
            <w:shd w:val="clear" w:color="auto" w:fill="auto"/>
            <w:noWrap/>
            <w:vAlign w:val="bottom"/>
            <w:hideMark/>
          </w:tcPr>
          <w:p w14:paraId="5C14D57B"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1,533,720 </w:t>
            </w:r>
          </w:p>
        </w:tc>
        <w:tc>
          <w:tcPr>
            <w:tcW w:w="1646" w:type="dxa"/>
            <w:tcBorders>
              <w:top w:val="nil"/>
              <w:left w:val="nil"/>
              <w:bottom w:val="single" w:sz="4" w:space="0" w:color="auto"/>
              <w:right w:val="single" w:sz="4" w:space="0" w:color="auto"/>
            </w:tcBorders>
            <w:shd w:val="clear" w:color="auto" w:fill="auto"/>
            <w:noWrap/>
            <w:vAlign w:val="bottom"/>
            <w:hideMark/>
          </w:tcPr>
          <w:p w14:paraId="264EC95E"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1,592,995 </w:t>
            </w:r>
          </w:p>
        </w:tc>
      </w:tr>
      <w:tr w:rsidR="00056B81" w:rsidRPr="00476E3E" w14:paraId="034F77FB"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89F609E" w14:textId="77777777" w:rsidR="00056B81" w:rsidRPr="00476E3E" w:rsidRDefault="00056B81" w:rsidP="00056B81">
            <w:pPr>
              <w:spacing w:after="0" w:line="240" w:lineRule="auto"/>
              <w:ind w:left="0" w:firstLine="0"/>
              <w:rPr>
                <w:rFonts w:ascii="Calibri" w:hAnsi="Calibri"/>
              </w:rPr>
            </w:pPr>
            <w:r w:rsidRPr="00476E3E">
              <w:rPr>
                <w:rFonts w:ascii="Calibri" w:hAnsi="Calibri"/>
              </w:rPr>
              <w:t>Out-patient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054A6166"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540,226 </w:t>
            </w:r>
          </w:p>
        </w:tc>
        <w:tc>
          <w:tcPr>
            <w:tcW w:w="1751" w:type="dxa"/>
            <w:tcBorders>
              <w:top w:val="nil"/>
              <w:left w:val="nil"/>
              <w:bottom w:val="single" w:sz="4" w:space="0" w:color="auto"/>
              <w:right w:val="single" w:sz="4" w:space="0" w:color="auto"/>
            </w:tcBorders>
            <w:shd w:val="clear" w:color="auto" w:fill="auto"/>
            <w:noWrap/>
            <w:vAlign w:val="bottom"/>
            <w:hideMark/>
          </w:tcPr>
          <w:p w14:paraId="11872AEC"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682,878 </w:t>
            </w:r>
          </w:p>
        </w:tc>
        <w:tc>
          <w:tcPr>
            <w:tcW w:w="1646" w:type="dxa"/>
            <w:tcBorders>
              <w:top w:val="nil"/>
              <w:left w:val="nil"/>
              <w:bottom w:val="single" w:sz="4" w:space="0" w:color="auto"/>
              <w:right w:val="single" w:sz="4" w:space="0" w:color="auto"/>
            </w:tcBorders>
            <w:shd w:val="clear" w:color="auto" w:fill="auto"/>
            <w:noWrap/>
            <w:vAlign w:val="bottom"/>
            <w:hideMark/>
          </w:tcPr>
          <w:p w14:paraId="0986614D"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709,269 </w:t>
            </w:r>
          </w:p>
        </w:tc>
      </w:tr>
      <w:tr w:rsidR="00056B81" w:rsidRPr="00476E3E" w14:paraId="22493061"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ABA83B8" w14:textId="77777777" w:rsidR="00056B81" w:rsidRPr="00476E3E" w:rsidRDefault="00056B81" w:rsidP="00056B81">
            <w:pPr>
              <w:spacing w:after="0" w:line="240" w:lineRule="auto"/>
              <w:ind w:left="0" w:firstLine="0"/>
              <w:rPr>
                <w:rFonts w:ascii="Calibri" w:hAnsi="Calibri"/>
              </w:rPr>
            </w:pPr>
            <w:r w:rsidRPr="00476E3E">
              <w:rPr>
                <w:rFonts w:ascii="Calibri" w:hAnsi="Calibri"/>
              </w:rPr>
              <w:t>Prescription Drugs'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005BF1C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32,891 </w:t>
            </w:r>
          </w:p>
        </w:tc>
        <w:tc>
          <w:tcPr>
            <w:tcW w:w="1751" w:type="dxa"/>
            <w:tcBorders>
              <w:top w:val="nil"/>
              <w:left w:val="nil"/>
              <w:bottom w:val="single" w:sz="4" w:space="0" w:color="auto"/>
              <w:right w:val="single" w:sz="4" w:space="0" w:color="auto"/>
            </w:tcBorders>
            <w:shd w:val="clear" w:color="auto" w:fill="auto"/>
            <w:noWrap/>
            <w:vAlign w:val="bottom"/>
            <w:hideMark/>
          </w:tcPr>
          <w:p w14:paraId="62573828"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41,576 </w:t>
            </w:r>
          </w:p>
        </w:tc>
        <w:tc>
          <w:tcPr>
            <w:tcW w:w="1646" w:type="dxa"/>
            <w:tcBorders>
              <w:top w:val="nil"/>
              <w:left w:val="nil"/>
              <w:bottom w:val="single" w:sz="4" w:space="0" w:color="auto"/>
              <w:right w:val="single" w:sz="4" w:space="0" w:color="auto"/>
            </w:tcBorders>
            <w:shd w:val="clear" w:color="auto" w:fill="auto"/>
            <w:noWrap/>
            <w:vAlign w:val="bottom"/>
            <w:hideMark/>
          </w:tcPr>
          <w:p w14:paraId="471240B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43,182 </w:t>
            </w:r>
          </w:p>
        </w:tc>
      </w:tr>
      <w:tr w:rsidR="00056B81" w:rsidRPr="00476E3E" w14:paraId="322C9503"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CD1BDC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Medical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456B1CAB"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1,786,448 </w:t>
            </w:r>
          </w:p>
        </w:tc>
        <w:tc>
          <w:tcPr>
            <w:tcW w:w="1751" w:type="dxa"/>
            <w:tcBorders>
              <w:top w:val="nil"/>
              <w:left w:val="nil"/>
              <w:bottom w:val="single" w:sz="4" w:space="0" w:color="auto"/>
              <w:right w:val="single" w:sz="4" w:space="0" w:color="auto"/>
            </w:tcBorders>
            <w:shd w:val="clear" w:color="auto" w:fill="auto"/>
            <w:noWrap/>
            <w:vAlign w:val="bottom"/>
            <w:hideMark/>
          </w:tcPr>
          <w:p w14:paraId="393792C7"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2,258,173 </w:t>
            </w:r>
          </w:p>
        </w:tc>
        <w:tc>
          <w:tcPr>
            <w:tcW w:w="1646" w:type="dxa"/>
            <w:tcBorders>
              <w:top w:val="nil"/>
              <w:left w:val="nil"/>
              <w:bottom w:val="single" w:sz="4" w:space="0" w:color="auto"/>
              <w:right w:val="single" w:sz="4" w:space="0" w:color="auto"/>
            </w:tcBorders>
            <w:shd w:val="clear" w:color="auto" w:fill="auto"/>
            <w:noWrap/>
            <w:vAlign w:val="bottom"/>
            <w:hideMark/>
          </w:tcPr>
          <w:p w14:paraId="2406C126"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2,345,447 </w:t>
            </w:r>
          </w:p>
        </w:tc>
      </w:tr>
      <w:tr w:rsidR="00056B81" w:rsidRPr="00476E3E" w14:paraId="77513229"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735D757E"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Caregiver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63716812"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145,047 </w:t>
            </w:r>
          </w:p>
        </w:tc>
        <w:tc>
          <w:tcPr>
            <w:tcW w:w="1751" w:type="dxa"/>
            <w:tcBorders>
              <w:top w:val="nil"/>
              <w:left w:val="nil"/>
              <w:bottom w:val="single" w:sz="4" w:space="0" w:color="auto"/>
              <w:right w:val="single" w:sz="4" w:space="0" w:color="auto"/>
            </w:tcBorders>
            <w:shd w:val="clear" w:color="auto" w:fill="auto"/>
            <w:noWrap/>
            <w:vAlign w:val="bottom"/>
            <w:hideMark/>
          </w:tcPr>
          <w:p w14:paraId="10B259C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183,348 </w:t>
            </w:r>
          </w:p>
        </w:tc>
        <w:tc>
          <w:tcPr>
            <w:tcW w:w="1646" w:type="dxa"/>
            <w:tcBorders>
              <w:top w:val="nil"/>
              <w:left w:val="nil"/>
              <w:bottom w:val="single" w:sz="4" w:space="0" w:color="auto"/>
              <w:right w:val="single" w:sz="4" w:space="0" w:color="auto"/>
            </w:tcBorders>
            <w:shd w:val="clear" w:color="auto" w:fill="auto"/>
            <w:noWrap/>
            <w:vAlign w:val="bottom"/>
            <w:hideMark/>
          </w:tcPr>
          <w:p w14:paraId="252AD59A"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190,434 </w:t>
            </w:r>
          </w:p>
        </w:tc>
      </w:tr>
      <w:tr w:rsidR="00056B81" w:rsidRPr="00476E3E" w14:paraId="183CE6FA"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00FE3819"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Transportation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33BACB7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49,336 </w:t>
            </w:r>
          </w:p>
        </w:tc>
        <w:tc>
          <w:tcPr>
            <w:tcW w:w="1751" w:type="dxa"/>
            <w:tcBorders>
              <w:top w:val="nil"/>
              <w:left w:val="nil"/>
              <w:bottom w:val="single" w:sz="4" w:space="0" w:color="auto"/>
              <w:right w:val="single" w:sz="4" w:space="0" w:color="auto"/>
            </w:tcBorders>
            <w:shd w:val="clear" w:color="auto" w:fill="auto"/>
            <w:noWrap/>
            <w:vAlign w:val="bottom"/>
            <w:hideMark/>
          </w:tcPr>
          <w:p w14:paraId="201C2013"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62,363 </w:t>
            </w:r>
          </w:p>
        </w:tc>
        <w:tc>
          <w:tcPr>
            <w:tcW w:w="1646" w:type="dxa"/>
            <w:tcBorders>
              <w:top w:val="nil"/>
              <w:left w:val="nil"/>
              <w:bottom w:val="single" w:sz="4" w:space="0" w:color="auto"/>
              <w:right w:val="single" w:sz="4" w:space="0" w:color="auto"/>
            </w:tcBorders>
            <w:shd w:val="clear" w:color="auto" w:fill="auto"/>
            <w:noWrap/>
            <w:vAlign w:val="bottom"/>
            <w:hideMark/>
          </w:tcPr>
          <w:p w14:paraId="72072C5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64,773 </w:t>
            </w:r>
          </w:p>
        </w:tc>
      </w:tr>
      <w:tr w:rsidR="00056B81" w:rsidRPr="00476E3E" w14:paraId="42C03953"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7375CD20" w14:textId="77777777" w:rsidR="00056B81" w:rsidRPr="00476E3E" w:rsidRDefault="00056B81" w:rsidP="00056B81">
            <w:pPr>
              <w:spacing w:after="0" w:line="240" w:lineRule="auto"/>
              <w:ind w:left="0" w:firstLine="0"/>
              <w:rPr>
                <w:rFonts w:ascii="Calibri" w:hAnsi="Calibri"/>
              </w:rPr>
            </w:pPr>
            <w:r w:rsidRPr="00476E3E">
              <w:rPr>
                <w:rFonts w:ascii="Calibri" w:hAnsi="Calibri"/>
              </w:rPr>
              <w:t>Total Costs of Alternative Medicine-CAM- (in US$)</w:t>
            </w:r>
          </w:p>
        </w:tc>
        <w:tc>
          <w:tcPr>
            <w:tcW w:w="1360" w:type="dxa"/>
            <w:tcBorders>
              <w:top w:val="nil"/>
              <w:left w:val="nil"/>
              <w:bottom w:val="single" w:sz="4" w:space="0" w:color="auto"/>
              <w:right w:val="single" w:sz="4" w:space="0" w:color="auto"/>
            </w:tcBorders>
            <w:shd w:val="clear" w:color="auto" w:fill="auto"/>
            <w:noWrap/>
            <w:vAlign w:val="bottom"/>
            <w:hideMark/>
          </w:tcPr>
          <w:p w14:paraId="094B295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16,445 </w:t>
            </w:r>
          </w:p>
        </w:tc>
        <w:tc>
          <w:tcPr>
            <w:tcW w:w="1751" w:type="dxa"/>
            <w:tcBorders>
              <w:top w:val="nil"/>
              <w:left w:val="nil"/>
              <w:bottom w:val="single" w:sz="4" w:space="0" w:color="auto"/>
              <w:right w:val="single" w:sz="4" w:space="0" w:color="auto"/>
            </w:tcBorders>
            <w:shd w:val="clear" w:color="auto" w:fill="auto"/>
            <w:noWrap/>
            <w:vAlign w:val="bottom"/>
            <w:hideMark/>
          </w:tcPr>
          <w:p w14:paraId="237D5A27"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15 </w:t>
            </w:r>
          </w:p>
        </w:tc>
        <w:tc>
          <w:tcPr>
            <w:tcW w:w="1646" w:type="dxa"/>
            <w:tcBorders>
              <w:top w:val="nil"/>
              <w:left w:val="nil"/>
              <w:bottom w:val="single" w:sz="4" w:space="0" w:color="auto"/>
              <w:right w:val="single" w:sz="4" w:space="0" w:color="auto"/>
            </w:tcBorders>
            <w:shd w:val="clear" w:color="auto" w:fill="auto"/>
            <w:noWrap/>
            <w:vAlign w:val="bottom"/>
            <w:hideMark/>
          </w:tcPr>
          <w:p w14:paraId="1AF84D75" w14:textId="77777777" w:rsidR="00056B81" w:rsidRPr="00476E3E" w:rsidRDefault="00056B81" w:rsidP="00056B81">
            <w:pPr>
              <w:spacing w:after="0" w:line="240" w:lineRule="auto"/>
              <w:ind w:left="0" w:firstLine="0"/>
              <w:rPr>
                <w:rFonts w:ascii="Calibri" w:hAnsi="Calibri"/>
              </w:rPr>
            </w:pPr>
            <w:r w:rsidRPr="00476E3E">
              <w:rPr>
                <w:rFonts w:ascii="Calibri" w:hAnsi="Calibri"/>
              </w:rPr>
              <w:t xml:space="preserve">                            20 </w:t>
            </w:r>
          </w:p>
        </w:tc>
      </w:tr>
      <w:tr w:rsidR="00056B81" w:rsidRPr="00476E3E" w14:paraId="74FA7E05"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3640B5A"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Non-medical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1014729C"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210,828 </w:t>
            </w:r>
          </w:p>
        </w:tc>
        <w:tc>
          <w:tcPr>
            <w:tcW w:w="1751" w:type="dxa"/>
            <w:tcBorders>
              <w:top w:val="nil"/>
              <w:left w:val="nil"/>
              <w:bottom w:val="single" w:sz="4" w:space="0" w:color="auto"/>
              <w:right w:val="single" w:sz="4" w:space="0" w:color="auto"/>
            </w:tcBorders>
            <w:shd w:val="clear" w:color="auto" w:fill="auto"/>
            <w:noWrap/>
            <w:vAlign w:val="bottom"/>
            <w:hideMark/>
          </w:tcPr>
          <w:p w14:paraId="7B7D8842"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245,726 </w:t>
            </w:r>
          </w:p>
        </w:tc>
        <w:tc>
          <w:tcPr>
            <w:tcW w:w="1646" w:type="dxa"/>
            <w:tcBorders>
              <w:top w:val="nil"/>
              <w:left w:val="nil"/>
              <w:bottom w:val="single" w:sz="4" w:space="0" w:color="auto"/>
              <w:right w:val="single" w:sz="4" w:space="0" w:color="auto"/>
            </w:tcBorders>
            <w:shd w:val="clear" w:color="auto" w:fill="auto"/>
            <w:noWrap/>
            <w:vAlign w:val="bottom"/>
            <w:hideMark/>
          </w:tcPr>
          <w:p w14:paraId="19E15805"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255,228 </w:t>
            </w:r>
          </w:p>
        </w:tc>
      </w:tr>
      <w:tr w:rsidR="00056B81" w:rsidRPr="00476E3E" w14:paraId="3BD3B420"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8C18D96"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Cost-of-Illness Costs (in US$)</w:t>
            </w:r>
          </w:p>
        </w:tc>
        <w:tc>
          <w:tcPr>
            <w:tcW w:w="1360" w:type="dxa"/>
            <w:tcBorders>
              <w:top w:val="nil"/>
              <w:left w:val="nil"/>
              <w:bottom w:val="single" w:sz="4" w:space="0" w:color="auto"/>
              <w:right w:val="single" w:sz="4" w:space="0" w:color="auto"/>
            </w:tcBorders>
            <w:shd w:val="clear" w:color="auto" w:fill="auto"/>
            <w:noWrap/>
            <w:vAlign w:val="bottom"/>
            <w:hideMark/>
          </w:tcPr>
          <w:p w14:paraId="4461926D"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1,997,276 </w:t>
            </w:r>
          </w:p>
        </w:tc>
        <w:tc>
          <w:tcPr>
            <w:tcW w:w="1751" w:type="dxa"/>
            <w:tcBorders>
              <w:top w:val="nil"/>
              <w:left w:val="nil"/>
              <w:bottom w:val="single" w:sz="4" w:space="0" w:color="auto"/>
              <w:right w:val="single" w:sz="4" w:space="0" w:color="auto"/>
            </w:tcBorders>
            <w:shd w:val="clear" w:color="auto" w:fill="auto"/>
            <w:noWrap/>
            <w:vAlign w:val="bottom"/>
            <w:hideMark/>
          </w:tcPr>
          <w:p w14:paraId="6E3B3EC1"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2,503,900 </w:t>
            </w:r>
          </w:p>
        </w:tc>
        <w:tc>
          <w:tcPr>
            <w:tcW w:w="1646" w:type="dxa"/>
            <w:tcBorders>
              <w:top w:val="nil"/>
              <w:left w:val="nil"/>
              <w:bottom w:val="single" w:sz="4" w:space="0" w:color="auto"/>
              <w:right w:val="single" w:sz="4" w:space="0" w:color="auto"/>
            </w:tcBorders>
            <w:shd w:val="clear" w:color="auto" w:fill="auto"/>
            <w:noWrap/>
            <w:vAlign w:val="bottom"/>
            <w:hideMark/>
          </w:tcPr>
          <w:p w14:paraId="71E3662D"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2,600,674 </w:t>
            </w:r>
          </w:p>
        </w:tc>
      </w:tr>
      <w:tr w:rsidR="00056B81" w:rsidRPr="00476E3E" w14:paraId="73E58368" w14:textId="77777777" w:rsidTr="00056B81">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43B1F921"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Total Economic Loss (in US$)</w:t>
            </w:r>
          </w:p>
        </w:tc>
        <w:tc>
          <w:tcPr>
            <w:tcW w:w="1360" w:type="dxa"/>
            <w:tcBorders>
              <w:top w:val="nil"/>
              <w:left w:val="nil"/>
              <w:bottom w:val="single" w:sz="4" w:space="0" w:color="auto"/>
              <w:right w:val="single" w:sz="4" w:space="0" w:color="auto"/>
            </w:tcBorders>
            <w:shd w:val="clear" w:color="auto" w:fill="auto"/>
            <w:noWrap/>
            <w:vAlign w:val="bottom"/>
            <w:hideMark/>
          </w:tcPr>
          <w:p w14:paraId="1DAF4819"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110,508,330 </w:t>
            </w:r>
          </w:p>
        </w:tc>
        <w:tc>
          <w:tcPr>
            <w:tcW w:w="1751" w:type="dxa"/>
            <w:tcBorders>
              <w:top w:val="nil"/>
              <w:left w:val="nil"/>
              <w:bottom w:val="single" w:sz="4" w:space="0" w:color="auto"/>
              <w:right w:val="single" w:sz="4" w:space="0" w:color="auto"/>
            </w:tcBorders>
            <w:shd w:val="clear" w:color="auto" w:fill="auto"/>
            <w:noWrap/>
            <w:vAlign w:val="bottom"/>
            <w:hideMark/>
          </w:tcPr>
          <w:p w14:paraId="686DAA24"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139,688,940 </w:t>
            </w:r>
          </w:p>
        </w:tc>
        <w:tc>
          <w:tcPr>
            <w:tcW w:w="1646" w:type="dxa"/>
            <w:tcBorders>
              <w:top w:val="nil"/>
              <w:left w:val="nil"/>
              <w:bottom w:val="single" w:sz="4" w:space="0" w:color="auto"/>
              <w:right w:val="single" w:sz="4" w:space="0" w:color="auto"/>
            </w:tcBorders>
            <w:shd w:val="clear" w:color="auto" w:fill="auto"/>
            <w:noWrap/>
            <w:vAlign w:val="bottom"/>
            <w:hideMark/>
          </w:tcPr>
          <w:p w14:paraId="522516B8" w14:textId="77777777" w:rsidR="00056B81" w:rsidRPr="002B2C64" w:rsidRDefault="00056B81" w:rsidP="00056B81">
            <w:pPr>
              <w:spacing w:after="0" w:line="240" w:lineRule="auto"/>
              <w:ind w:left="0" w:firstLine="0"/>
              <w:rPr>
                <w:rFonts w:ascii="Calibri" w:hAnsi="Calibri"/>
                <w:bCs/>
              </w:rPr>
            </w:pPr>
            <w:r w:rsidRPr="002B2C64">
              <w:rPr>
                <w:rFonts w:ascii="Calibri" w:hAnsi="Calibri"/>
                <w:bCs/>
              </w:rPr>
              <w:t xml:space="preserve">         145,087,605 </w:t>
            </w:r>
          </w:p>
        </w:tc>
      </w:tr>
      <w:tr w:rsidR="00056B81" w:rsidRPr="00476E3E" w14:paraId="68DC7C24" w14:textId="77777777" w:rsidTr="00056B81">
        <w:trPr>
          <w:trHeight w:val="300"/>
        </w:trPr>
        <w:tc>
          <w:tcPr>
            <w:tcW w:w="4488" w:type="dxa"/>
            <w:tcBorders>
              <w:top w:val="nil"/>
              <w:left w:val="nil"/>
              <w:bottom w:val="nil"/>
              <w:right w:val="nil"/>
            </w:tcBorders>
            <w:shd w:val="clear" w:color="auto" w:fill="auto"/>
            <w:noWrap/>
            <w:vAlign w:val="bottom"/>
            <w:hideMark/>
          </w:tcPr>
          <w:p w14:paraId="46EF2292" w14:textId="77777777" w:rsidR="00056B81" w:rsidRPr="00476E3E" w:rsidRDefault="00056B81" w:rsidP="00056B81">
            <w:pPr>
              <w:spacing w:after="0" w:line="240" w:lineRule="auto"/>
              <w:ind w:left="0" w:firstLine="0"/>
              <w:rPr>
                <w:rFonts w:ascii="Calibri" w:hAnsi="Calibri"/>
              </w:rPr>
            </w:pPr>
            <w:r w:rsidRPr="00476E3E">
              <w:rPr>
                <w:rFonts w:ascii="Calibri" w:hAnsi="Calibri"/>
              </w:rPr>
              <w:t>* Discounted at 3%</w:t>
            </w:r>
          </w:p>
        </w:tc>
        <w:tc>
          <w:tcPr>
            <w:tcW w:w="1360" w:type="dxa"/>
            <w:tcBorders>
              <w:top w:val="nil"/>
              <w:left w:val="nil"/>
              <w:bottom w:val="nil"/>
              <w:right w:val="nil"/>
            </w:tcBorders>
            <w:shd w:val="clear" w:color="auto" w:fill="auto"/>
            <w:noWrap/>
            <w:vAlign w:val="bottom"/>
            <w:hideMark/>
          </w:tcPr>
          <w:p w14:paraId="5F0E0332" w14:textId="77777777" w:rsidR="00056B81" w:rsidRPr="00476E3E" w:rsidRDefault="00056B81" w:rsidP="00056B81">
            <w:pPr>
              <w:spacing w:after="0" w:line="240" w:lineRule="auto"/>
              <w:ind w:left="0" w:firstLine="0"/>
              <w:rPr>
                <w:rFonts w:ascii="Calibri" w:hAnsi="Calibri"/>
              </w:rPr>
            </w:pPr>
          </w:p>
        </w:tc>
        <w:tc>
          <w:tcPr>
            <w:tcW w:w="1751" w:type="dxa"/>
            <w:tcBorders>
              <w:top w:val="nil"/>
              <w:left w:val="nil"/>
              <w:bottom w:val="nil"/>
              <w:right w:val="nil"/>
            </w:tcBorders>
            <w:shd w:val="clear" w:color="auto" w:fill="auto"/>
            <w:noWrap/>
            <w:vAlign w:val="bottom"/>
            <w:hideMark/>
          </w:tcPr>
          <w:p w14:paraId="379D6BEF" w14:textId="77777777" w:rsidR="00056B81" w:rsidRPr="00476E3E" w:rsidRDefault="00056B81" w:rsidP="00056B81">
            <w:pPr>
              <w:spacing w:after="0" w:line="240" w:lineRule="auto"/>
              <w:ind w:left="0" w:firstLine="0"/>
              <w:rPr>
                <w:color w:val="auto"/>
                <w:sz w:val="20"/>
                <w:szCs w:val="20"/>
              </w:rPr>
            </w:pPr>
          </w:p>
        </w:tc>
        <w:tc>
          <w:tcPr>
            <w:tcW w:w="1646" w:type="dxa"/>
            <w:tcBorders>
              <w:top w:val="nil"/>
              <w:left w:val="nil"/>
              <w:bottom w:val="nil"/>
              <w:right w:val="nil"/>
            </w:tcBorders>
            <w:shd w:val="clear" w:color="auto" w:fill="auto"/>
            <w:noWrap/>
            <w:vAlign w:val="bottom"/>
            <w:hideMark/>
          </w:tcPr>
          <w:p w14:paraId="2D427057" w14:textId="77777777" w:rsidR="00056B81" w:rsidRPr="00476E3E" w:rsidRDefault="00056B81" w:rsidP="00056B81">
            <w:pPr>
              <w:spacing w:after="0" w:line="240" w:lineRule="auto"/>
              <w:ind w:left="0" w:firstLine="0"/>
              <w:rPr>
                <w:color w:val="auto"/>
                <w:sz w:val="20"/>
                <w:szCs w:val="20"/>
              </w:rPr>
            </w:pPr>
          </w:p>
        </w:tc>
      </w:tr>
    </w:tbl>
    <w:p w14:paraId="2B3DE986" w14:textId="77777777" w:rsidR="00056B81" w:rsidRDefault="00056B81" w:rsidP="006F7A63">
      <w:pPr>
        <w:jc w:val="both"/>
      </w:pPr>
    </w:p>
    <w:p w14:paraId="6234A2B6" w14:textId="1A1FE1DF" w:rsidR="00BA3A76" w:rsidRDefault="003B517D" w:rsidP="0094607A">
      <w:pPr>
        <w:pStyle w:val="Heading3"/>
      </w:pPr>
      <w:bookmarkStart w:id="37" w:name="_Toc427672774"/>
      <w:r>
        <w:t xml:space="preserve">8.4.6 </w:t>
      </w:r>
      <w:r w:rsidR="00006849">
        <w:t xml:space="preserve">Total Economic loss (males and </w:t>
      </w:r>
      <w:r w:rsidR="00D8531D">
        <w:t>f</w:t>
      </w:r>
      <w:r w:rsidR="00006849">
        <w:t>emales)</w:t>
      </w:r>
      <w:bookmarkEnd w:id="37"/>
      <w:r w:rsidR="00D8531D">
        <w:t xml:space="preserve"> </w:t>
      </w:r>
    </w:p>
    <w:p w14:paraId="713EA843" w14:textId="77777777" w:rsidR="00D8531D" w:rsidRDefault="00D8531D" w:rsidP="002B2C64"/>
    <w:p w14:paraId="62B4AA8D" w14:textId="7A6D3960" w:rsidR="00D8531D" w:rsidRDefault="00D8531D" w:rsidP="00D8531D">
      <w:pPr>
        <w:spacing w:line="360" w:lineRule="auto"/>
        <w:ind w:left="-6" w:hanging="11"/>
        <w:jc w:val="both"/>
        <w:rPr>
          <w:rFonts w:ascii="Calibri" w:hAnsi="Calibri"/>
          <w:bCs/>
        </w:rPr>
      </w:pPr>
      <w:r w:rsidRPr="00150BA1">
        <w:rPr>
          <w:sz w:val="24"/>
          <w:szCs w:val="24"/>
          <w:lang w:eastAsia="ja-JP"/>
        </w:rPr>
        <w:t xml:space="preserve">The total economic loss is </w:t>
      </w:r>
      <w:r>
        <w:rPr>
          <w:sz w:val="24"/>
          <w:szCs w:val="24"/>
          <w:lang w:eastAsia="ja-JP"/>
        </w:rPr>
        <w:t>the sum</w:t>
      </w:r>
      <w:r w:rsidRPr="00150BA1">
        <w:rPr>
          <w:sz w:val="24"/>
          <w:szCs w:val="24"/>
          <w:lang w:eastAsia="ja-JP"/>
        </w:rPr>
        <w:t xml:space="preserve"> of</w:t>
      </w:r>
      <w:r>
        <w:rPr>
          <w:sz w:val="24"/>
          <w:szCs w:val="24"/>
          <w:lang w:eastAsia="ja-JP"/>
        </w:rPr>
        <w:t xml:space="preserve"> all</w:t>
      </w:r>
      <w:r w:rsidRPr="00150BA1">
        <w:rPr>
          <w:sz w:val="24"/>
          <w:szCs w:val="24"/>
          <w:lang w:eastAsia="ja-JP"/>
        </w:rPr>
        <w:t xml:space="preserve"> economic losses </w:t>
      </w:r>
      <w:r>
        <w:rPr>
          <w:sz w:val="24"/>
          <w:szCs w:val="24"/>
          <w:lang w:eastAsia="ja-JP"/>
        </w:rPr>
        <w:t>(adult male and female, children male and female) (Table 13).</w:t>
      </w:r>
      <w:r w:rsidRPr="00150BA1">
        <w:rPr>
          <w:sz w:val="24"/>
          <w:szCs w:val="24"/>
          <w:lang w:eastAsia="ja-JP"/>
        </w:rPr>
        <w:t xml:space="preserve"> The total population modelled in this analysis </w:t>
      </w:r>
      <w:r>
        <w:rPr>
          <w:sz w:val="24"/>
          <w:szCs w:val="24"/>
          <w:lang w:eastAsia="ja-JP"/>
        </w:rPr>
        <w:t xml:space="preserve">is </w:t>
      </w:r>
      <w:r w:rsidRPr="00365EFD">
        <w:rPr>
          <w:rFonts w:ascii="Calibri" w:hAnsi="Calibri"/>
        </w:rPr>
        <w:t>1</w:t>
      </w:r>
      <w:r>
        <w:rPr>
          <w:rFonts w:ascii="Calibri" w:hAnsi="Calibri"/>
        </w:rPr>
        <w:t>,</w:t>
      </w:r>
      <w:r w:rsidRPr="00365EFD">
        <w:rPr>
          <w:rFonts w:ascii="Calibri" w:hAnsi="Calibri"/>
        </w:rPr>
        <w:t>856</w:t>
      </w:r>
      <w:r>
        <w:rPr>
          <w:rFonts w:ascii="Calibri" w:hAnsi="Calibri"/>
        </w:rPr>
        <w:t>,</w:t>
      </w:r>
      <w:r w:rsidRPr="00365EFD">
        <w:rPr>
          <w:rFonts w:ascii="Calibri" w:hAnsi="Calibri"/>
        </w:rPr>
        <w:t>417</w:t>
      </w:r>
      <w:r>
        <w:rPr>
          <w:rFonts w:ascii="Calibri" w:hAnsi="Calibri"/>
        </w:rPr>
        <w:t xml:space="preserve"> aged 0 to 65+. </w:t>
      </w:r>
      <w:r>
        <w:t xml:space="preserve">From a median of </w:t>
      </w:r>
      <w:r w:rsidR="00F44B12">
        <w:t>14,046</w:t>
      </w:r>
      <w:r>
        <w:t xml:space="preserve"> positive chronic Hepatitis B cases,</w:t>
      </w:r>
      <w:r w:rsidR="00F44B12">
        <w:t>2,575</w:t>
      </w:r>
      <w:r>
        <w:t xml:space="preserve"> wil</w:t>
      </w:r>
      <w:r w:rsidRPr="001C0E90">
        <w:t xml:space="preserve">l develop HCC </w:t>
      </w:r>
      <w:r>
        <w:t>which will</w:t>
      </w:r>
      <w:r w:rsidRPr="001C0E90">
        <w:t xml:space="preserve"> result to death within the year. From this, morbidity and mortality a total of </w:t>
      </w:r>
      <w:r w:rsidR="00F44B12">
        <w:t>188,015</w:t>
      </w:r>
      <w:r w:rsidRPr="001C0E90">
        <w:t xml:space="preserve"> DALYs (discounted at 3%) would be lost equivalent to US$ </w:t>
      </w:r>
      <w:r w:rsidR="00F44B12">
        <w:t>94,383,398</w:t>
      </w:r>
      <w:r w:rsidRPr="001C0E90">
        <w:t xml:space="preserve"> worth of GDP</w:t>
      </w:r>
      <w:r>
        <w:t xml:space="preserve">. Total medical cost amount to a median of US$ </w:t>
      </w:r>
      <w:r w:rsidR="00F44B12" w:rsidRPr="00F44B12">
        <w:rPr>
          <w:rFonts w:ascii="Calibri" w:hAnsi="Calibri"/>
          <w:b/>
          <w:bCs/>
        </w:rPr>
        <w:t>1,525,776</w:t>
      </w:r>
      <w:r w:rsidRPr="00365EFD">
        <w:rPr>
          <w:rFonts w:ascii="Calibri" w:hAnsi="Calibri"/>
          <w:bCs/>
          <w:color w:val="FF0000"/>
        </w:rPr>
        <w:t xml:space="preserve"> </w:t>
      </w:r>
      <w:r>
        <w:t xml:space="preserve">while non-medical is US$ </w:t>
      </w:r>
      <w:r w:rsidR="00F44B12" w:rsidRPr="00F44B12">
        <w:rPr>
          <w:rFonts w:ascii="Calibri" w:hAnsi="Calibri"/>
          <w:b/>
          <w:bCs/>
        </w:rPr>
        <w:t>166,035</w:t>
      </w:r>
      <w:r>
        <w:rPr>
          <w:rFonts w:ascii="Calibri" w:hAnsi="Calibri"/>
          <w:bCs/>
        </w:rPr>
        <w:t>.</w:t>
      </w:r>
    </w:p>
    <w:p w14:paraId="5428F543" w14:textId="509C4F0D" w:rsidR="00D8531D" w:rsidRDefault="00D8531D" w:rsidP="00D8531D">
      <w:pPr>
        <w:jc w:val="both"/>
      </w:pPr>
      <w:r>
        <w:rPr>
          <w:sz w:val="24"/>
          <w:szCs w:val="24"/>
          <w:lang w:eastAsia="ja-JP"/>
        </w:rPr>
        <w:t xml:space="preserve">Table 13. </w:t>
      </w:r>
      <w:r>
        <w:t>Economic and epidemiological values for the whole population (US$)</w:t>
      </w:r>
    </w:p>
    <w:tbl>
      <w:tblPr>
        <w:tblW w:w="8859" w:type="dxa"/>
        <w:tblInd w:w="113" w:type="dxa"/>
        <w:tblLook w:val="04A0" w:firstRow="1" w:lastRow="0" w:firstColumn="1" w:lastColumn="0" w:noHBand="0" w:noVBand="1"/>
      </w:tblPr>
      <w:tblGrid>
        <w:gridCol w:w="4488"/>
        <w:gridCol w:w="1377"/>
        <w:gridCol w:w="1348"/>
        <w:gridCol w:w="1646"/>
      </w:tblGrid>
      <w:tr w:rsidR="00F44B12" w:rsidRPr="00F44B12" w14:paraId="7A2BF3E9" w14:textId="77777777" w:rsidTr="00F44B12">
        <w:trPr>
          <w:trHeight w:val="300"/>
        </w:trPr>
        <w:tc>
          <w:tcPr>
            <w:tcW w:w="8859"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E32B3E2" w14:textId="77777777" w:rsidR="00F44B12" w:rsidRPr="00F44B12" w:rsidRDefault="00F44B12" w:rsidP="00F44B12">
            <w:pPr>
              <w:spacing w:after="0" w:line="240" w:lineRule="auto"/>
              <w:ind w:left="0" w:firstLine="0"/>
              <w:jc w:val="center"/>
              <w:rPr>
                <w:rFonts w:ascii="Calibri" w:hAnsi="Calibri"/>
                <w:b/>
                <w:bCs/>
              </w:rPr>
            </w:pPr>
            <w:r w:rsidRPr="00F44B12">
              <w:rPr>
                <w:rFonts w:ascii="Calibri" w:hAnsi="Calibri"/>
                <w:b/>
                <w:bCs/>
              </w:rPr>
              <w:t>Whole population (0-65+)</w:t>
            </w:r>
          </w:p>
        </w:tc>
      </w:tr>
      <w:tr w:rsidR="00F44B12" w:rsidRPr="00F44B12" w14:paraId="174DF436" w14:textId="77777777" w:rsidTr="00F44B12">
        <w:trPr>
          <w:trHeight w:val="300"/>
        </w:trPr>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39F1" w14:textId="77777777" w:rsidR="00F44B12" w:rsidRPr="00F44B12" w:rsidRDefault="00F44B12" w:rsidP="00F44B12">
            <w:pPr>
              <w:spacing w:after="0" w:line="240" w:lineRule="auto"/>
              <w:ind w:left="0" w:firstLine="0"/>
              <w:rPr>
                <w:rFonts w:ascii="Calibri" w:hAnsi="Calibri"/>
              </w:rPr>
            </w:pPr>
            <w:r w:rsidRPr="00F44B12">
              <w:rPr>
                <w:rFonts w:ascii="Calibri" w:hAnsi="Calibri"/>
              </w:rPr>
              <w:t> </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4570959D" w14:textId="77777777" w:rsidR="00F44B12" w:rsidRPr="00F44B12" w:rsidRDefault="00F44B12" w:rsidP="00F44B12">
            <w:pPr>
              <w:spacing w:after="0" w:line="240" w:lineRule="auto"/>
              <w:ind w:left="0" w:firstLine="0"/>
              <w:jc w:val="center"/>
              <w:rPr>
                <w:rFonts w:ascii="Calibri" w:hAnsi="Calibri"/>
                <w:b/>
                <w:bCs/>
              </w:rPr>
            </w:pPr>
            <w:r w:rsidRPr="00F44B12">
              <w:rPr>
                <w:rFonts w:ascii="Calibri" w:hAnsi="Calibri"/>
                <w:b/>
                <w:bCs/>
              </w:rPr>
              <w:t>1st Quartile</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0B287152" w14:textId="77777777" w:rsidR="00F44B12" w:rsidRPr="00F44B12" w:rsidRDefault="00F44B12" w:rsidP="00F44B12">
            <w:pPr>
              <w:spacing w:after="0" w:line="240" w:lineRule="auto"/>
              <w:ind w:left="0" w:firstLine="0"/>
              <w:jc w:val="center"/>
              <w:rPr>
                <w:rFonts w:ascii="Calibri" w:hAnsi="Calibri"/>
                <w:b/>
                <w:bCs/>
              </w:rPr>
            </w:pPr>
            <w:r w:rsidRPr="00F44B12">
              <w:rPr>
                <w:rFonts w:ascii="Calibri" w:hAnsi="Calibri"/>
                <w:b/>
                <w:bCs/>
              </w:rPr>
              <w:t>Median</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299013A2" w14:textId="77777777" w:rsidR="00F44B12" w:rsidRPr="00F44B12" w:rsidRDefault="00F44B12" w:rsidP="00F44B12">
            <w:pPr>
              <w:spacing w:after="0" w:line="240" w:lineRule="auto"/>
              <w:ind w:left="0" w:firstLine="0"/>
              <w:jc w:val="center"/>
              <w:rPr>
                <w:rFonts w:ascii="Calibri" w:hAnsi="Calibri"/>
                <w:b/>
                <w:bCs/>
              </w:rPr>
            </w:pPr>
            <w:r w:rsidRPr="00F44B12">
              <w:rPr>
                <w:rFonts w:ascii="Calibri" w:hAnsi="Calibri"/>
                <w:b/>
                <w:bCs/>
              </w:rPr>
              <w:t>3rd Quartile</w:t>
            </w:r>
          </w:p>
        </w:tc>
      </w:tr>
      <w:tr w:rsidR="00F44B12" w:rsidRPr="00F44B12" w14:paraId="61B11C31"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49E8499"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lastRenderedPageBreak/>
              <w:t>Total Population</w:t>
            </w:r>
          </w:p>
        </w:tc>
        <w:tc>
          <w:tcPr>
            <w:tcW w:w="1377" w:type="dxa"/>
            <w:tcBorders>
              <w:top w:val="nil"/>
              <w:left w:val="nil"/>
              <w:bottom w:val="single" w:sz="4" w:space="0" w:color="auto"/>
              <w:right w:val="single" w:sz="4" w:space="0" w:color="auto"/>
            </w:tcBorders>
            <w:shd w:val="clear" w:color="auto" w:fill="auto"/>
            <w:noWrap/>
            <w:vAlign w:val="bottom"/>
            <w:hideMark/>
          </w:tcPr>
          <w:p w14:paraId="7051B845" w14:textId="77777777" w:rsidR="00F44B12" w:rsidRPr="00F44B12" w:rsidRDefault="00F44B12" w:rsidP="00F44B12">
            <w:pPr>
              <w:spacing w:after="0" w:line="240" w:lineRule="auto"/>
              <w:ind w:left="0" w:firstLine="0"/>
              <w:rPr>
                <w:rFonts w:ascii="Calibri" w:hAnsi="Calibri"/>
                <w:b/>
                <w:bCs/>
                <w:color w:val="FF0000"/>
              </w:rPr>
            </w:pPr>
            <w:r w:rsidRPr="00F44B12">
              <w:rPr>
                <w:rFonts w:ascii="Calibri" w:hAnsi="Calibri"/>
                <w:b/>
                <w:bCs/>
                <w:color w:val="FF0000"/>
              </w:rPr>
              <w:t xml:space="preserve">              55,580 </w:t>
            </w:r>
          </w:p>
        </w:tc>
        <w:tc>
          <w:tcPr>
            <w:tcW w:w="1348" w:type="dxa"/>
            <w:tcBorders>
              <w:top w:val="nil"/>
              <w:left w:val="nil"/>
              <w:bottom w:val="nil"/>
              <w:right w:val="nil"/>
            </w:tcBorders>
            <w:shd w:val="clear" w:color="auto" w:fill="auto"/>
            <w:noWrap/>
            <w:vAlign w:val="bottom"/>
            <w:hideMark/>
          </w:tcPr>
          <w:p w14:paraId="0A173557" w14:textId="77777777" w:rsidR="00F44B12" w:rsidRPr="00F44B12" w:rsidRDefault="00F44B12" w:rsidP="00F44B12">
            <w:pPr>
              <w:spacing w:after="0" w:line="240" w:lineRule="auto"/>
              <w:ind w:left="0" w:firstLine="0"/>
              <w:rPr>
                <w:rFonts w:ascii="Calibri" w:hAnsi="Calibri"/>
                <w:color w:val="FF0000"/>
              </w:rPr>
            </w:pPr>
            <w:r w:rsidRPr="00F44B12">
              <w:rPr>
                <w:rFonts w:ascii="Calibri" w:hAnsi="Calibri"/>
                <w:color w:val="FF0000"/>
              </w:rPr>
              <w:t xml:space="preserve">             93,638 </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37661144" w14:textId="77777777" w:rsidR="00F44B12" w:rsidRPr="00F44B12" w:rsidRDefault="00F44B12" w:rsidP="00F44B12">
            <w:pPr>
              <w:spacing w:after="0" w:line="240" w:lineRule="auto"/>
              <w:ind w:left="0" w:firstLine="0"/>
              <w:rPr>
                <w:rFonts w:ascii="Calibri" w:hAnsi="Calibri"/>
                <w:b/>
                <w:bCs/>
                <w:color w:val="FF0000"/>
              </w:rPr>
            </w:pPr>
            <w:r w:rsidRPr="00F44B12">
              <w:rPr>
                <w:rFonts w:ascii="Calibri" w:hAnsi="Calibri"/>
                <w:b/>
                <w:bCs/>
                <w:color w:val="FF0000"/>
              </w:rPr>
              <w:t xml:space="preserve">                 327,203 </w:t>
            </w:r>
          </w:p>
        </w:tc>
      </w:tr>
      <w:tr w:rsidR="00F44B12" w:rsidRPr="00F44B12" w14:paraId="44E30FD6"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293705F"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DALYs*</w:t>
            </w:r>
          </w:p>
        </w:tc>
        <w:tc>
          <w:tcPr>
            <w:tcW w:w="1377" w:type="dxa"/>
            <w:tcBorders>
              <w:top w:val="nil"/>
              <w:left w:val="nil"/>
              <w:bottom w:val="single" w:sz="4" w:space="0" w:color="auto"/>
              <w:right w:val="single" w:sz="4" w:space="0" w:color="auto"/>
            </w:tcBorders>
            <w:shd w:val="clear" w:color="auto" w:fill="auto"/>
            <w:noWrap/>
            <w:vAlign w:val="bottom"/>
            <w:hideMark/>
          </w:tcPr>
          <w:p w14:paraId="4D4ACDEB" w14:textId="1643AD27" w:rsidR="00F44B12" w:rsidRPr="00F44B12" w:rsidRDefault="00556195" w:rsidP="00556195">
            <w:pPr>
              <w:spacing w:after="0" w:line="240" w:lineRule="auto"/>
              <w:ind w:left="0" w:firstLine="0"/>
              <w:rPr>
                <w:rFonts w:ascii="Calibri" w:hAnsi="Calibri"/>
              </w:rPr>
            </w:pPr>
            <w:r>
              <w:rPr>
                <w:rFonts w:ascii="Calibri" w:hAnsi="Calibri"/>
              </w:rPr>
              <w:t xml:space="preserve">      111,599</w:t>
            </w:r>
            <w:r w:rsidR="00F44B12" w:rsidRPr="00F44B12">
              <w:rPr>
                <w:rFonts w:ascii="Calibri" w:hAnsi="Calibri"/>
              </w:rPr>
              <w:t xml:space="preserve">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49CA8F4E"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188,015 </w:t>
            </w:r>
          </w:p>
        </w:tc>
        <w:tc>
          <w:tcPr>
            <w:tcW w:w="1646" w:type="dxa"/>
            <w:tcBorders>
              <w:top w:val="nil"/>
              <w:left w:val="nil"/>
              <w:bottom w:val="single" w:sz="4" w:space="0" w:color="auto"/>
              <w:right w:val="single" w:sz="4" w:space="0" w:color="auto"/>
            </w:tcBorders>
            <w:shd w:val="clear" w:color="auto" w:fill="auto"/>
            <w:noWrap/>
            <w:vAlign w:val="bottom"/>
            <w:hideMark/>
          </w:tcPr>
          <w:p w14:paraId="7AE8827E"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656,991 </w:t>
            </w:r>
          </w:p>
        </w:tc>
      </w:tr>
      <w:tr w:rsidR="00F44B12" w:rsidRPr="00F44B12" w14:paraId="1FFEF3FA"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5E36C84"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Total Monetized DALYs§</w:t>
            </w:r>
          </w:p>
        </w:tc>
        <w:tc>
          <w:tcPr>
            <w:tcW w:w="1377" w:type="dxa"/>
            <w:tcBorders>
              <w:top w:val="nil"/>
              <w:left w:val="nil"/>
              <w:bottom w:val="single" w:sz="4" w:space="0" w:color="auto"/>
              <w:right w:val="single" w:sz="4" w:space="0" w:color="auto"/>
            </w:tcBorders>
            <w:shd w:val="clear" w:color="auto" w:fill="auto"/>
            <w:noWrap/>
            <w:vAlign w:val="bottom"/>
            <w:hideMark/>
          </w:tcPr>
          <w:p w14:paraId="10C6F3C0"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56,022,739 </w:t>
            </w:r>
          </w:p>
        </w:tc>
        <w:tc>
          <w:tcPr>
            <w:tcW w:w="1348" w:type="dxa"/>
            <w:tcBorders>
              <w:top w:val="nil"/>
              <w:left w:val="nil"/>
              <w:bottom w:val="single" w:sz="4" w:space="0" w:color="auto"/>
              <w:right w:val="single" w:sz="4" w:space="0" w:color="auto"/>
            </w:tcBorders>
            <w:shd w:val="clear" w:color="auto" w:fill="auto"/>
            <w:noWrap/>
            <w:vAlign w:val="bottom"/>
            <w:hideMark/>
          </w:tcPr>
          <w:p w14:paraId="3B81C087"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w:t>
            </w:r>
            <w:bookmarkStart w:id="38" w:name="OLE_LINK3"/>
            <w:r w:rsidRPr="00F44B12">
              <w:rPr>
                <w:rFonts w:ascii="Calibri" w:hAnsi="Calibri"/>
                <w:b/>
                <w:bCs/>
              </w:rPr>
              <w:t>94,383,398</w:t>
            </w:r>
            <w:bookmarkEnd w:id="38"/>
            <w:r w:rsidRPr="00F44B12">
              <w:rPr>
                <w:rFonts w:ascii="Calibri" w:hAnsi="Calibri"/>
                <w:b/>
                <w:bCs/>
              </w:rPr>
              <w:t xml:space="preserve"> </w:t>
            </w:r>
          </w:p>
        </w:tc>
        <w:tc>
          <w:tcPr>
            <w:tcW w:w="1646" w:type="dxa"/>
            <w:tcBorders>
              <w:top w:val="nil"/>
              <w:left w:val="nil"/>
              <w:bottom w:val="single" w:sz="4" w:space="0" w:color="auto"/>
              <w:right w:val="single" w:sz="4" w:space="0" w:color="auto"/>
            </w:tcBorders>
            <w:shd w:val="clear" w:color="auto" w:fill="auto"/>
            <w:noWrap/>
            <w:vAlign w:val="bottom"/>
            <w:hideMark/>
          </w:tcPr>
          <w:p w14:paraId="7BC3C239"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329,809,434 </w:t>
            </w:r>
          </w:p>
        </w:tc>
      </w:tr>
      <w:tr w:rsidR="00F44B12" w:rsidRPr="00F44B12" w14:paraId="5FC66339"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2E28D9F"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Chronic Hepatitis B (positive)</w:t>
            </w:r>
          </w:p>
        </w:tc>
        <w:tc>
          <w:tcPr>
            <w:tcW w:w="1377" w:type="dxa"/>
            <w:tcBorders>
              <w:top w:val="nil"/>
              <w:left w:val="nil"/>
              <w:bottom w:val="single" w:sz="4" w:space="0" w:color="auto"/>
              <w:right w:val="single" w:sz="4" w:space="0" w:color="auto"/>
            </w:tcBorders>
            <w:shd w:val="clear" w:color="auto" w:fill="auto"/>
            <w:noWrap/>
            <w:vAlign w:val="bottom"/>
            <w:hideMark/>
          </w:tcPr>
          <w:p w14:paraId="185FD166"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8,337 </w:t>
            </w:r>
          </w:p>
        </w:tc>
        <w:tc>
          <w:tcPr>
            <w:tcW w:w="1348" w:type="dxa"/>
            <w:tcBorders>
              <w:top w:val="nil"/>
              <w:left w:val="nil"/>
              <w:bottom w:val="single" w:sz="4" w:space="0" w:color="auto"/>
              <w:right w:val="single" w:sz="4" w:space="0" w:color="auto"/>
            </w:tcBorders>
            <w:shd w:val="clear" w:color="auto" w:fill="auto"/>
            <w:noWrap/>
            <w:vAlign w:val="bottom"/>
            <w:hideMark/>
          </w:tcPr>
          <w:p w14:paraId="2EF0F838"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14,046 </w:t>
            </w:r>
          </w:p>
        </w:tc>
        <w:tc>
          <w:tcPr>
            <w:tcW w:w="1646" w:type="dxa"/>
            <w:tcBorders>
              <w:top w:val="nil"/>
              <w:left w:val="nil"/>
              <w:bottom w:val="single" w:sz="4" w:space="0" w:color="auto"/>
              <w:right w:val="single" w:sz="4" w:space="0" w:color="auto"/>
            </w:tcBorders>
            <w:shd w:val="clear" w:color="auto" w:fill="auto"/>
            <w:noWrap/>
            <w:vAlign w:val="bottom"/>
            <w:hideMark/>
          </w:tcPr>
          <w:p w14:paraId="6D6F3EBA"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49,080 </w:t>
            </w:r>
          </w:p>
        </w:tc>
      </w:tr>
      <w:tr w:rsidR="00F44B12" w:rsidRPr="00F44B12" w14:paraId="166589DD"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8D97313"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Chronic Hepatitis B (negative)</w:t>
            </w:r>
          </w:p>
        </w:tc>
        <w:tc>
          <w:tcPr>
            <w:tcW w:w="1377" w:type="dxa"/>
            <w:tcBorders>
              <w:top w:val="nil"/>
              <w:left w:val="nil"/>
              <w:bottom w:val="single" w:sz="4" w:space="0" w:color="auto"/>
              <w:right w:val="single" w:sz="4" w:space="0" w:color="auto"/>
            </w:tcBorders>
            <w:shd w:val="clear" w:color="auto" w:fill="auto"/>
            <w:noWrap/>
            <w:vAlign w:val="bottom"/>
            <w:hideMark/>
          </w:tcPr>
          <w:p w14:paraId="292072ED"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47,243 </w:t>
            </w:r>
          </w:p>
        </w:tc>
        <w:tc>
          <w:tcPr>
            <w:tcW w:w="1348" w:type="dxa"/>
            <w:tcBorders>
              <w:top w:val="nil"/>
              <w:left w:val="nil"/>
              <w:bottom w:val="single" w:sz="4" w:space="0" w:color="auto"/>
              <w:right w:val="single" w:sz="4" w:space="0" w:color="auto"/>
            </w:tcBorders>
            <w:shd w:val="clear" w:color="auto" w:fill="auto"/>
            <w:noWrap/>
            <w:vAlign w:val="bottom"/>
            <w:hideMark/>
          </w:tcPr>
          <w:p w14:paraId="5CE5AB76"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79,592 </w:t>
            </w:r>
          </w:p>
        </w:tc>
        <w:tc>
          <w:tcPr>
            <w:tcW w:w="1646" w:type="dxa"/>
            <w:tcBorders>
              <w:top w:val="nil"/>
              <w:left w:val="nil"/>
              <w:bottom w:val="single" w:sz="4" w:space="0" w:color="auto"/>
              <w:right w:val="single" w:sz="4" w:space="0" w:color="auto"/>
            </w:tcBorders>
            <w:shd w:val="clear" w:color="auto" w:fill="auto"/>
            <w:noWrap/>
            <w:vAlign w:val="bottom"/>
            <w:hideMark/>
          </w:tcPr>
          <w:p w14:paraId="71EFC500"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278,123 </w:t>
            </w:r>
          </w:p>
        </w:tc>
      </w:tr>
      <w:tr w:rsidR="00F44B12" w:rsidRPr="00F44B12" w14:paraId="64D8CCAE"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0669650"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HCC cases</w:t>
            </w:r>
          </w:p>
        </w:tc>
        <w:tc>
          <w:tcPr>
            <w:tcW w:w="1377" w:type="dxa"/>
            <w:tcBorders>
              <w:top w:val="nil"/>
              <w:left w:val="nil"/>
              <w:bottom w:val="single" w:sz="4" w:space="0" w:color="auto"/>
              <w:right w:val="single" w:sz="4" w:space="0" w:color="auto"/>
            </w:tcBorders>
            <w:shd w:val="clear" w:color="auto" w:fill="auto"/>
            <w:noWrap/>
            <w:vAlign w:val="bottom"/>
            <w:hideMark/>
          </w:tcPr>
          <w:p w14:paraId="0AA1494B" w14:textId="0614A5BB" w:rsidR="00F44B12" w:rsidRPr="00F44B12" w:rsidRDefault="008C6D5F" w:rsidP="008C6D5F">
            <w:pPr>
              <w:spacing w:after="0" w:line="240" w:lineRule="auto"/>
              <w:ind w:left="0" w:firstLine="0"/>
              <w:rPr>
                <w:rFonts w:ascii="Calibri" w:hAnsi="Calibri"/>
              </w:rPr>
            </w:pPr>
            <w:r>
              <w:rPr>
                <w:rFonts w:ascii="Calibri" w:hAnsi="Calibri"/>
              </w:rPr>
              <w:t xml:space="preserve">           1,529</w:t>
            </w:r>
            <w:r w:rsidR="00F44B12" w:rsidRPr="00F44B12">
              <w:rPr>
                <w:rFonts w:ascii="Calibri" w:hAnsi="Calibri"/>
              </w:rPr>
              <w:t xml:space="preserve"> </w:t>
            </w:r>
          </w:p>
        </w:tc>
        <w:tc>
          <w:tcPr>
            <w:tcW w:w="1348" w:type="dxa"/>
            <w:tcBorders>
              <w:top w:val="nil"/>
              <w:left w:val="nil"/>
              <w:bottom w:val="single" w:sz="4" w:space="0" w:color="auto"/>
              <w:right w:val="single" w:sz="4" w:space="0" w:color="auto"/>
            </w:tcBorders>
            <w:shd w:val="clear" w:color="auto" w:fill="auto"/>
            <w:noWrap/>
            <w:vAlign w:val="bottom"/>
            <w:hideMark/>
          </w:tcPr>
          <w:p w14:paraId="688567A2" w14:textId="7A6FC9E6" w:rsidR="00F44B12" w:rsidRPr="00F44B12" w:rsidRDefault="00F44B12" w:rsidP="008C6D5F">
            <w:pPr>
              <w:spacing w:after="0" w:line="240" w:lineRule="auto"/>
              <w:ind w:left="0" w:firstLine="0"/>
              <w:rPr>
                <w:rFonts w:ascii="Calibri" w:hAnsi="Calibri"/>
              </w:rPr>
            </w:pPr>
            <w:r w:rsidRPr="00F44B12">
              <w:rPr>
                <w:rFonts w:ascii="Calibri" w:hAnsi="Calibri"/>
              </w:rPr>
              <w:t xml:space="preserve"> </w:t>
            </w:r>
            <w:r w:rsidR="008C6D5F">
              <w:rPr>
                <w:rFonts w:ascii="Calibri" w:hAnsi="Calibri"/>
              </w:rPr>
              <w:t xml:space="preserve">         2,575</w:t>
            </w:r>
            <w:r w:rsidRPr="00F44B12">
              <w:rPr>
                <w:rFonts w:ascii="Calibri" w:hAnsi="Calibri"/>
              </w:rPr>
              <w:t xml:space="preserve"> </w:t>
            </w:r>
          </w:p>
        </w:tc>
        <w:tc>
          <w:tcPr>
            <w:tcW w:w="1646" w:type="dxa"/>
            <w:tcBorders>
              <w:top w:val="nil"/>
              <w:left w:val="nil"/>
              <w:bottom w:val="single" w:sz="4" w:space="0" w:color="auto"/>
              <w:right w:val="single" w:sz="4" w:space="0" w:color="auto"/>
            </w:tcBorders>
            <w:shd w:val="clear" w:color="auto" w:fill="auto"/>
            <w:noWrap/>
            <w:vAlign w:val="bottom"/>
            <w:hideMark/>
          </w:tcPr>
          <w:p w14:paraId="60E5A431" w14:textId="0CEA6A46" w:rsidR="00F44B12" w:rsidRPr="00F44B12" w:rsidRDefault="00F44B12" w:rsidP="008C6D5F">
            <w:pPr>
              <w:spacing w:after="0" w:line="240" w:lineRule="auto"/>
              <w:ind w:left="0" w:firstLine="0"/>
              <w:rPr>
                <w:rFonts w:ascii="Calibri" w:hAnsi="Calibri"/>
              </w:rPr>
            </w:pPr>
            <w:r w:rsidRPr="00F44B12">
              <w:rPr>
                <w:rFonts w:ascii="Calibri" w:hAnsi="Calibri"/>
              </w:rPr>
              <w:t xml:space="preserve">                8,999 </w:t>
            </w:r>
          </w:p>
        </w:tc>
      </w:tr>
      <w:tr w:rsidR="00F44B12" w:rsidRPr="00F44B12" w14:paraId="687A5914"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C312A17"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Deaths from HCC</w:t>
            </w:r>
          </w:p>
        </w:tc>
        <w:tc>
          <w:tcPr>
            <w:tcW w:w="1377" w:type="dxa"/>
            <w:tcBorders>
              <w:top w:val="nil"/>
              <w:left w:val="nil"/>
              <w:bottom w:val="single" w:sz="4" w:space="0" w:color="auto"/>
              <w:right w:val="single" w:sz="4" w:space="0" w:color="auto"/>
            </w:tcBorders>
            <w:shd w:val="clear" w:color="auto" w:fill="auto"/>
            <w:noWrap/>
            <w:vAlign w:val="bottom"/>
            <w:hideMark/>
          </w:tcPr>
          <w:p w14:paraId="3528B05D"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1,529 </w:t>
            </w:r>
          </w:p>
        </w:tc>
        <w:tc>
          <w:tcPr>
            <w:tcW w:w="1348" w:type="dxa"/>
            <w:tcBorders>
              <w:top w:val="nil"/>
              <w:left w:val="nil"/>
              <w:bottom w:val="single" w:sz="4" w:space="0" w:color="auto"/>
              <w:right w:val="single" w:sz="4" w:space="0" w:color="auto"/>
            </w:tcBorders>
            <w:shd w:val="clear" w:color="auto" w:fill="auto"/>
            <w:noWrap/>
            <w:vAlign w:val="bottom"/>
            <w:hideMark/>
          </w:tcPr>
          <w:p w14:paraId="7502AAEF"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2,575 </w:t>
            </w:r>
          </w:p>
        </w:tc>
        <w:tc>
          <w:tcPr>
            <w:tcW w:w="1646" w:type="dxa"/>
            <w:tcBorders>
              <w:top w:val="nil"/>
              <w:left w:val="nil"/>
              <w:bottom w:val="single" w:sz="4" w:space="0" w:color="auto"/>
              <w:right w:val="single" w:sz="4" w:space="0" w:color="auto"/>
            </w:tcBorders>
            <w:shd w:val="clear" w:color="auto" w:fill="auto"/>
            <w:noWrap/>
            <w:vAlign w:val="bottom"/>
            <w:hideMark/>
          </w:tcPr>
          <w:p w14:paraId="02649A26"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8,999 </w:t>
            </w:r>
          </w:p>
        </w:tc>
      </w:tr>
      <w:tr w:rsidR="00F44B12" w:rsidRPr="00F44B12" w14:paraId="47C216AA"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8B833BA" w14:textId="77777777" w:rsidR="00F44B12" w:rsidRPr="00F44B12" w:rsidRDefault="00F44B12" w:rsidP="00F44B12">
            <w:pPr>
              <w:spacing w:after="0" w:line="240" w:lineRule="auto"/>
              <w:ind w:left="0" w:firstLine="0"/>
              <w:rPr>
                <w:rFonts w:ascii="Calibri" w:hAnsi="Calibri"/>
              </w:rPr>
            </w:pPr>
            <w:r w:rsidRPr="00F44B12">
              <w:rPr>
                <w:rFonts w:ascii="Calibri" w:hAnsi="Calibri"/>
              </w:rPr>
              <w:t>In-patient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0DA540CA"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615,104 </w:t>
            </w:r>
          </w:p>
        </w:tc>
        <w:tc>
          <w:tcPr>
            <w:tcW w:w="1348" w:type="dxa"/>
            <w:tcBorders>
              <w:top w:val="nil"/>
              <w:left w:val="nil"/>
              <w:bottom w:val="single" w:sz="4" w:space="0" w:color="auto"/>
              <w:right w:val="single" w:sz="4" w:space="0" w:color="auto"/>
            </w:tcBorders>
            <w:shd w:val="clear" w:color="auto" w:fill="auto"/>
            <w:noWrap/>
            <w:vAlign w:val="bottom"/>
            <w:hideMark/>
          </w:tcPr>
          <w:p w14:paraId="17B32D2C"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1,036,286 </w:t>
            </w:r>
          </w:p>
        </w:tc>
        <w:tc>
          <w:tcPr>
            <w:tcW w:w="1646" w:type="dxa"/>
            <w:tcBorders>
              <w:top w:val="nil"/>
              <w:left w:val="nil"/>
              <w:bottom w:val="single" w:sz="4" w:space="0" w:color="auto"/>
              <w:right w:val="single" w:sz="4" w:space="0" w:color="auto"/>
            </w:tcBorders>
            <w:shd w:val="clear" w:color="auto" w:fill="auto"/>
            <w:noWrap/>
            <w:vAlign w:val="bottom"/>
            <w:hideMark/>
          </w:tcPr>
          <w:p w14:paraId="4FD8B5C5"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3,621,156 </w:t>
            </w:r>
          </w:p>
        </w:tc>
      </w:tr>
      <w:tr w:rsidR="00F44B12" w:rsidRPr="00F44B12" w14:paraId="74E8C556"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7BEC5843" w14:textId="77777777" w:rsidR="00F44B12" w:rsidRPr="00F44B12" w:rsidRDefault="00F44B12" w:rsidP="00F44B12">
            <w:pPr>
              <w:spacing w:after="0" w:line="240" w:lineRule="auto"/>
              <w:ind w:left="0" w:firstLine="0"/>
              <w:rPr>
                <w:rFonts w:ascii="Calibri" w:hAnsi="Calibri"/>
              </w:rPr>
            </w:pPr>
            <w:r w:rsidRPr="00F44B12">
              <w:rPr>
                <w:rFonts w:ascii="Calibri" w:hAnsi="Calibri"/>
              </w:rPr>
              <w:t>Out-patient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350300BF"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273,870 </w:t>
            </w:r>
          </w:p>
        </w:tc>
        <w:tc>
          <w:tcPr>
            <w:tcW w:w="1348" w:type="dxa"/>
            <w:tcBorders>
              <w:top w:val="nil"/>
              <w:left w:val="nil"/>
              <w:bottom w:val="single" w:sz="4" w:space="0" w:color="auto"/>
              <w:right w:val="single" w:sz="4" w:space="0" w:color="auto"/>
            </w:tcBorders>
            <w:shd w:val="clear" w:color="auto" w:fill="auto"/>
            <w:noWrap/>
            <w:vAlign w:val="bottom"/>
            <w:hideMark/>
          </w:tcPr>
          <w:p w14:paraId="4F406359"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461,399 </w:t>
            </w:r>
          </w:p>
        </w:tc>
        <w:tc>
          <w:tcPr>
            <w:tcW w:w="1646" w:type="dxa"/>
            <w:tcBorders>
              <w:top w:val="nil"/>
              <w:left w:val="nil"/>
              <w:bottom w:val="single" w:sz="4" w:space="0" w:color="auto"/>
              <w:right w:val="single" w:sz="4" w:space="0" w:color="auto"/>
            </w:tcBorders>
            <w:shd w:val="clear" w:color="auto" w:fill="auto"/>
            <w:noWrap/>
            <w:vAlign w:val="bottom"/>
            <w:hideMark/>
          </w:tcPr>
          <w:p w14:paraId="74301D81"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1,612,293 </w:t>
            </w:r>
          </w:p>
        </w:tc>
      </w:tr>
      <w:tr w:rsidR="00F44B12" w:rsidRPr="00F44B12" w14:paraId="12AEEF31"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20E76E9A" w14:textId="77777777" w:rsidR="00F44B12" w:rsidRPr="00F44B12" w:rsidRDefault="00F44B12" w:rsidP="00F44B12">
            <w:pPr>
              <w:spacing w:after="0" w:line="240" w:lineRule="auto"/>
              <w:ind w:left="0" w:firstLine="0"/>
              <w:rPr>
                <w:rFonts w:ascii="Calibri" w:hAnsi="Calibri"/>
              </w:rPr>
            </w:pPr>
            <w:r w:rsidRPr="00F44B12">
              <w:rPr>
                <w:rFonts w:ascii="Calibri" w:hAnsi="Calibri"/>
              </w:rPr>
              <w:t>Prescription Drugs'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698AD53F"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16,674 </w:t>
            </w:r>
          </w:p>
        </w:tc>
        <w:tc>
          <w:tcPr>
            <w:tcW w:w="1348" w:type="dxa"/>
            <w:tcBorders>
              <w:top w:val="nil"/>
              <w:left w:val="nil"/>
              <w:bottom w:val="single" w:sz="4" w:space="0" w:color="auto"/>
              <w:right w:val="single" w:sz="4" w:space="0" w:color="auto"/>
            </w:tcBorders>
            <w:shd w:val="clear" w:color="auto" w:fill="auto"/>
            <w:noWrap/>
            <w:vAlign w:val="bottom"/>
            <w:hideMark/>
          </w:tcPr>
          <w:p w14:paraId="0E23C0C9"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28,091 </w:t>
            </w:r>
          </w:p>
        </w:tc>
        <w:tc>
          <w:tcPr>
            <w:tcW w:w="1646" w:type="dxa"/>
            <w:tcBorders>
              <w:top w:val="nil"/>
              <w:left w:val="nil"/>
              <w:bottom w:val="single" w:sz="4" w:space="0" w:color="auto"/>
              <w:right w:val="single" w:sz="4" w:space="0" w:color="auto"/>
            </w:tcBorders>
            <w:shd w:val="clear" w:color="auto" w:fill="auto"/>
            <w:noWrap/>
            <w:vAlign w:val="bottom"/>
            <w:hideMark/>
          </w:tcPr>
          <w:p w14:paraId="0CA78BE8"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98,161 </w:t>
            </w:r>
          </w:p>
        </w:tc>
      </w:tr>
      <w:tr w:rsidR="00F44B12" w:rsidRPr="00F44B12" w14:paraId="1010790F"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5C1AEF35"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Total Medical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1057BE3E"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905,648 </w:t>
            </w:r>
          </w:p>
        </w:tc>
        <w:tc>
          <w:tcPr>
            <w:tcW w:w="1348" w:type="dxa"/>
            <w:tcBorders>
              <w:top w:val="nil"/>
              <w:left w:val="nil"/>
              <w:bottom w:val="single" w:sz="4" w:space="0" w:color="auto"/>
              <w:right w:val="single" w:sz="4" w:space="0" w:color="auto"/>
            </w:tcBorders>
            <w:shd w:val="clear" w:color="auto" w:fill="auto"/>
            <w:noWrap/>
            <w:vAlign w:val="bottom"/>
            <w:hideMark/>
          </w:tcPr>
          <w:p w14:paraId="1129F8EA"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1,525,776 </w:t>
            </w:r>
          </w:p>
        </w:tc>
        <w:tc>
          <w:tcPr>
            <w:tcW w:w="1646" w:type="dxa"/>
            <w:tcBorders>
              <w:top w:val="nil"/>
              <w:left w:val="nil"/>
              <w:bottom w:val="single" w:sz="4" w:space="0" w:color="auto"/>
              <w:right w:val="single" w:sz="4" w:space="0" w:color="auto"/>
            </w:tcBorders>
            <w:shd w:val="clear" w:color="auto" w:fill="auto"/>
            <w:noWrap/>
            <w:vAlign w:val="bottom"/>
            <w:hideMark/>
          </w:tcPr>
          <w:p w14:paraId="123ED8D1"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5,331,609 </w:t>
            </w:r>
          </w:p>
        </w:tc>
      </w:tr>
      <w:tr w:rsidR="00F44B12" w:rsidRPr="00F44B12" w14:paraId="548E88DC"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6300F197"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Caregiver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36411016"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73,532 </w:t>
            </w:r>
          </w:p>
        </w:tc>
        <w:tc>
          <w:tcPr>
            <w:tcW w:w="1348" w:type="dxa"/>
            <w:tcBorders>
              <w:top w:val="nil"/>
              <w:left w:val="nil"/>
              <w:bottom w:val="single" w:sz="4" w:space="0" w:color="auto"/>
              <w:right w:val="single" w:sz="4" w:space="0" w:color="auto"/>
            </w:tcBorders>
            <w:shd w:val="clear" w:color="auto" w:fill="auto"/>
            <w:noWrap/>
            <w:vAlign w:val="bottom"/>
            <w:hideMark/>
          </w:tcPr>
          <w:p w14:paraId="7912FAD9"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123,882 </w:t>
            </w:r>
          </w:p>
        </w:tc>
        <w:tc>
          <w:tcPr>
            <w:tcW w:w="1646" w:type="dxa"/>
            <w:tcBorders>
              <w:top w:val="nil"/>
              <w:left w:val="nil"/>
              <w:bottom w:val="single" w:sz="4" w:space="0" w:color="auto"/>
              <w:right w:val="single" w:sz="4" w:space="0" w:color="auto"/>
            </w:tcBorders>
            <w:shd w:val="clear" w:color="auto" w:fill="auto"/>
            <w:noWrap/>
            <w:vAlign w:val="bottom"/>
            <w:hideMark/>
          </w:tcPr>
          <w:p w14:paraId="682E5562"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432,890 </w:t>
            </w:r>
          </w:p>
        </w:tc>
      </w:tr>
      <w:tr w:rsidR="00F44B12" w:rsidRPr="00F44B12" w14:paraId="05A20188"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7B254E37"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Transportation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61367C34"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25,011 </w:t>
            </w:r>
          </w:p>
        </w:tc>
        <w:tc>
          <w:tcPr>
            <w:tcW w:w="1348" w:type="dxa"/>
            <w:tcBorders>
              <w:top w:val="nil"/>
              <w:left w:val="nil"/>
              <w:bottom w:val="single" w:sz="4" w:space="0" w:color="auto"/>
              <w:right w:val="single" w:sz="4" w:space="0" w:color="auto"/>
            </w:tcBorders>
            <w:shd w:val="clear" w:color="auto" w:fill="auto"/>
            <w:noWrap/>
            <w:vAlign w:val="bottom"/>
            <w:hideMark/>
          </w:tcPr>
          <w:p w14:paraId="0247CA36"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42,137 </w:t>
            </w:r>
          </w:p>
        </w:tc>
        <w:tc>
          <w:tcPr>
            <w:tcW w:w="1646" w:type="dxa"/>
            <w:tcBorders>
              <w:top w:val="nil"/>
              <w:left w:val="nil"/>
              <w:bottom w:val="single" w:sz="4" w:space="0" w:color="auto"/>
              <w:right w:val="single" w:sz="4" w:space="0" w:color="auto"/>
            </w:tcBorders>
            <w:shd w:val="clear" w:color="auto" w:fill="auto"/>
            <w:noWrap/>
            <w:vAlign w:val="bottom"/>
            <w:hideMark/>
          </w:tcPr>
          <w:p w14:paraId="17251BA3"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147,241 </w:t>
            </w:r>
          </w:p>
        </w:tc>
      </w:tr>
      <w:tr w:rsidR="00F44B12" w:rsidRPr="00F44B12" w14:paraId="1D8F51E3"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3216332" w14:textId="77777777" w:rsidR="00F44B12" w:rsidRPr="00F44B12" w:rsidRDefault="00F44B12" w:rsidP="00F44B12">
            <w:pPr>
              <w:spacing w:after="0" w:line="240" w:lineRule="auto"/>
              <w:ind w:left="0" w:firstLine="0"/>
              <w:rPr>
                <w:rFonts w:ascii="Calibri" w:hAnsi="Calibri"/>
              </w:rPr>
            </w:pPr>
            <w:r w:rsidRPr="00F44B12">
              <w:rPr>
                <w:rFonts w:ascii="Calibri" w:hAnsi="Calibri"/>
              </w:rPr>
              <w:t>Total Costs of Alternative Medicine-CAM- (in US$)</w:t>
            </w:r>
          </w:p>
        </w:tc>
        <w:tc>
          <w:tcPr>
            <w:tcW w:w="1377" w:type="dxa"/>
            <w:tcBorders>
              <w:top w:val="nil"/>
              <w:left w:val="nil"/>
              <w:bottom w:val="single" w:sz="4" w:space="0" w:color="auto"/>
              <w:right w:val="single" w:sz="4" w:space="0" w:color="auto"/>
            </w:tcBorders>
            <w:shd w:val="clear" w:color="auto" w:fill="auto"/>
            <w:noWrap/>
            <w:vAlign w:val="bottom"/>
            <w:hideMark/>
          </w:tcPr>
          <w:p w14:paraId="22E75620"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8,337 </w:t>
            </w:r>
          </w:p>
        </w:tc>
        <w:tc>
          <w:tcPr>
            <w:tcW w:w="1348" w:type="dxa"/>
            <w:tcBorders>
              <w:top w:val="nil"/>
              <w:left w:val="nil"/>
              <w:bottom w:val="single" w:sz="4" w:space="0" w:color="auto"/>
              <w:right w:val="single" w:sz="4" w:space="0" w:color="auto"/>
            </w:tcBorders>
            <w:shd w:val="clear" w:color="auto" w:fill="auto"/>
            <w:noWrap/>
            <w:vAlign w:val="bottom"/>
            <w:hideMark/>
          </w:tcPr>
          <w:p w14:paraId="1FDFBEC0"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15 </w:t>
            </w:r>
          </w:p>
        </w:tc>
        <w:tc>
          <w:tcPr>
            <w:tcW w:w="1646" w:type="dxa"/>
            <w:tcBorders>
              <w:top w:val="nil"/>
              <w:left w:val="nil"/>
              <w:bottom w:val="single" w:sz="4" w:space="0" w:color="auto"/>
              <w:right w:val="single" w:sz="4" w:space="0" w:color="auto"/>
            </w:tcBorders>
            <w:shd w:val="clear" w:color="auto" w:fill="auto"/>
            <w:noWrap/>
            <w:vAlign w:val="bottom"/>
            <w:hideMark/>
          </w:tcPr>
          <w:p w14:paraId="65A59D45" w14:textId="77777777" w:rsidR="00F44B12" w:rsidRPr="00F44B12" w:rsidRDefault="00F44B12" w:rsidP="00F44B12">
            <w:pPr>
              <w:spacing w:after="0" w:line="240" w:lineRule="auto"/>
              <w:ind w:left="0" w:firstLine="0"/>
              <w:rPr>
                <w:rFonts w:ascii="Calibri" w:hAnsi="Calibri"/>
              </w:rPr>
            </w:pPr>
            <w:r w:rsidRPr="00F44B12">
              <w:rPr>
                <w:rFonts w:ascii="Calibri" w:hAnsi="Calibri"/>
              </w:rPr>
              <w:t xml:space="preserve">                            20 </w:t>
            </w:r>
          </w:p>
        </w:tc>
      </w:tr>
      <w:tr w:rsidR="00F44B12" w:rsidRPr="00F44B12" w14:paraId="2CFE92D9"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1E452192"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Total Non-medical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5D25A90A"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106,880 </w:t>
            </w:r>
          </w:p>
        </w:tc>
        <w:tc>
          <w:tcPr>
            <w:tcW w:w="1348" w:type="dxa"/>
            <w:tcBorders>
              <w:top w:val="nil"/>
              <w:left w:val="nil"/>
              <w:bottom w:val="single" w:sz="4" w:space="0" w:color="auto"/>
              <w:right w:val="single" w:sz="4" w:space="0" w:color="auto"/>
            </w:tcBorders>
            <w:shd w:val="clear" w:color="auto" w:fill="auto"/>
            <w:noWrap/>
            <w:vAlign w:val="bottom"/>
            <w:hideMark/>
          </w:tcPr>
          <w:p w14:paraId="08D2DE05"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166,035 </w:t>
            </w:r>
          </w:p>
        </w:tc>
        <w:tc>
          <w:tcPr>
            <w:tcW w:w="1646" w:type="dxa"/>
            <w:tcBorders>
              <w:top w:val="nil"/>
              <w:left w:val="nil"/>
              <w:bottom w:val="single" w:sz="4" w:space="0" w:color="auto"/>
              <w:right w:val="single" w:sz="4" w:space="0" w:color="auto"/>
            </w:tcBorders>
            <w:shd w:val="clear" w:color="auto" w:fill="auto"/>
            <w:noWrap/>
            <w:vAlign w:val="bottom"/>
            <w:hideMark/>
          </w:tcPr>
          <w:p w14:paraId="1C9C232F"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580,151 </w:t>
            </w:r>
          </w:p>
        </w:tc>
      </w:tr>
      <w:tr w:rsidR="00F44B12" w:rsidRPr="00F44B12" w14:paraId="2A4884F6"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D546154"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Total Cost-of-Illness Costs (in US$)</w:t>
            </w:r>
          </w:p>
        </w:tc>
        <w:tc>
          <w:tcPr>
            <w:tcW w:w="1377" w:type="dxa"/>
            <w:tcBorders>
              <w:top w:val="nil"/>
              <w:left w:val="nil"/>
              <w:bottom w:val="single" w:sz="4" w:space="0" w:color="auto"/>
              <w:right w:val="single" w:sz="4" w:space="0" w:color="auto"/>
            </w:tcBorders>
            <w:shd w:val="clear" w:color="auto" w:fill="auto"/>
            <w:noWrap/>
            <w:vAlign w:val="bottom"/>
            <w:hideMark/>
          </w:tcPr>
          <w:p w14:paraId="6926ACD4"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1,012,529 </w:t>
            </w:r>
          </w:p>
        </w:tc>
        <w:tc>
          <w:tcPr>
            <w:tcW w:w="1348" w:type="dxa"/>
            <w:tcBorders>
              <w:top w:val="nil"/>
              <w:left w:val="nil"/>
              <w:bottom w:val="single" w:sz="4" w:space="0" w:color="auto"/>
              <w:right w:val="single" w:sz="4" w:space="0" w:color="auto"/>
            </w:tcBorders>
            <w:shd w:val="clear" w:color="auto" w:fill="auto"/>
            <w:noWrap/>
            <w:vAlign w:val="bottom"/>
            <w:hideMark/>
          </w:tcPr>
          <w:p w14:paraId="0BC12EA4"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1,691,811 </w:t>
            </w:r>
          </w:p>
        </w:tc>
        <w:tc>
          <w:tcPr>
            <w:tcW w:w="1646" w:type="dxa"/>
            <w:tcBorders>
              <w:top w:val="nil"/>
              <w:left w:val="nil"/>
              <w:bottom w:val="single" w:sz="4" w:space="0" w:color="auto"/>
              <w:right w:val="single" w:sz="4" w:space="0" w:color="auto"/>
            </w:tcBorders>
            <w:shd w:val="clear" w:color="auto" w:fill="auto"/>
            <w:noWrap/>
            <w:vAlign w:val="bottom"/>
            <w:hideMark/>
          </w:tcPr>
          <w:p w14:paraId="0D26F318"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5,911,761 </w:t>
            </w:r>
          </w:p>
        </w:tc>
      </w:tr>
      <w:tr w:rsidR="00F44B12" w:rsidRPr="00F44B12" w14:paraId="50BB4A12" w14:textId="77777777" w:rsidTr="00F44B12">
        <w:trPr>
          <w:trHeight w:val="300"/>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14:paraId="3B218F69"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Total Economic Loss (in US$)</w:t>
            </w:r>
          </w:p>
        </w:tc>
        <w:tc>
          <w:tcPr>
            <w:tcW w:w="1377" w:type="dxa"/>
            <w:tcBorders>
              <w:top w:val="nil"/>
              <w:left w:val="nil"/>
              <w:bottom w:val="single" w:sz="4" w:space="0" w:color="auto"/>
              <w:right w:val="single" w:sz="4" w:space="0" w:color="auto"/>
            </w:tcBorders>
            <w:shd w:val="clear" w:color="auto" w:fill="auto"/>
            <w:noWrap/>
            <w:vAlign w:val="bottom"/>
            <w:hideMark/>
          </w:tcPr>
          <w:p w14:paraId="118771E9"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56,022,739 </w:t>
            </w:r>
          </w:p>
        </w:tc>
        <w:tc>
          <w:tcPr>
            <w:tcW w:w="1348" w:type="dxa"/>
            <w:tcBorders>
              <w:top w:val="nil"/>
              <w:left w:val="nil"/>
              <w:bottom w:val="single" w:sz="4" w:space="0" w:color="auto"/>
              <w:right w:val="single" w:sz="4" w:space="0" w:color="auto"/>
            </w:tcBorders>
            <w:shd w:val="clear" w:color="auto" w:fill="auto"/>
            <w:noWrap/>
            <w:vAlign w:val="bottom"/>
            <w:hideMark/>
          </w:tcPr>
          <w:p w14:paraId="1429A50E"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94,383,398 </w:t>
            </w:r>
          </w:p>
        </w:tc>
        <w:tc>
          <w:tcPr>
            <w:tcW w:w="1646" w:type="dxa"/>
            <w:tcBorders>
              <w:top w:val="nil"/>
              <w:left w:val="nil"/>
              <w:bottom w:val="single" w:sz="4" w:space="0" w:color="auto"/>
              <w:right w:val="single" w:sz="4" w:space="0" w:color="auto"/>
            </w:tcBorders>
            <w:shd w:val="clear" w:color="auto" w:fill="auto"/>
            <w:noWrap/>
            <w:vAlign w:val="bottom"/>
            <w:hideMark/>
          </w:tcPr>
          <w:p w14:paraId="1CADC069" w14:textId="77777777" w:rsidR="00F44B12" w:rsidRPr="00F44B12" w:rsidRDefault="00F44B12" w:rsidP="00F44B12">
            <w:pPr>
              <w:spacing w:after="0" w:line="240" w:lineRule="auto"/>
              <w:ind w:left="0" w:firstLine="0"/>
              <w:rPr>
                <w:rFonts w:ascii="Calibri" w:hAnsi="Calibri"/>
                <w:b/>
                <w:bCs/>
              </w:rPr>
            </w:pPr>
            <w:r w:rsidRPr="00F44B12">
              <w:rPr>
                <w:rFonts w:ascii="Calibri" w:hAnsi="Calibri"/>
                <w:b/>
                <w:bCs/>
              </w:rPr>
              <w:t xml:space="preserve">         329,809,434 </w:t>
            </w:r>
          </w:p>
        </w:tc>
      </w:tr>
    </w:tbl>
    <w:p w14:paraId="036EC40A" w14:textId="77777777" w:rsidR="003B517D" w:rsidRDefault="003B517D" w:rsidP="007710B3">
      <w:pPr>
        <w:pStyle w:val="Heading3"/>
        <w:spacing w:line="480" w:lineRule="auto"/>
        <w:ind w:left="0" w:firstLine="0"/>
        <w:jc w:val="both"/>
      </w:pPr>
    </w:p>
    <w:p w14:paraId="50DECD4B" w14:textId="5F20171D" w:rsidR="009717C3" w:rsidRPr="000152DC" w:rsidRDefault="009717C3" w:rsidP="003E003B">
      <w:pPr>
        <w:pStyle w:val="Heading3"/>
        <w:spacing w:line="480" w:lineRule="auto"/>
        <w:jc w:val="both"/>
      </w:pPr>
      <w:bookmarkStart w:id="39" w:name="_Toc427672775"/>
      <w:r w:rsidRPr="000152DC">
        <w:t>8.4.</w:t>
      </w:r>
      <w:r w:rsidR="003B517D">
        <w:t>7</w:t>
      </w:r>
      <w:r w:rsidRPr="000152DC">
        <w:t xml:space="preserve"> Case fatality ratio</w:t>
      </w:r>
      <w:bookmarkEnd w:id="39"/>
    </w:p>
    <w:p w14:paraId="37272C41" w14:textId="4E259FE6" w:rsidR="006333D7" w:rsidRDefault="009717C3" w:rsidP="001D03BF">
      <w:pPr>
        <w:spacing w:line="360" w:lineRule="auto"/>
        <w:ind w:left="-6" w:hanging="11"/>
        <w:jc w:val="both"/>
      </w:pPr>
      <w:r>
        <w:t xml:space="preserve">Case </w:t>
      </w:r>
      <w:r w:rsidR="001D03BF">
        <w:t>F</w:t>
      </w:r>
      <w:r>
        <w:t xml:space="preserve">atality </w:t>
      </w:r>
      <w:r w:rsidR="001D03BF">
        <w:t>R</w:t>
      </w:r>
      <w:r w:rsidR="00A81C4B">
        <w:t>atio</w:t>
      </w:r>
      <w:r>
        <w:t xml:space="preserve"> (CFR) is typically defined as p</w:t>
      </w:r>
      <w:r w:rsidR="006333D7">
        <w:t>e</w:t>
      </w:r>
      <w:r>
        <w:t xml:space="preserve">rcentage of individual who are diagnosed with a certain </w:t>
      </w:r>
      <w:r w:rsidR="006333D7">
        <w:t>disease</w:t>
      </w:r>
      <w:r>
        <w:t xml:space="preserve"> and subsequently die because of that particular disease wit</w:t>
      </w:r>
      <w:r w:rsidR="006333D7">
        <w:t>hin</w:t>
      </w:r>
      <w:r>
        <w:t xml:space="preserve"> a specified period. </w:t>
      </w:r>
      <w:r w:rsidR="006333D7">
        <w:t>C</w:t>
      </w:r>
      <w:r w:rsidR="001D03BF">
        <w:t>FR</w:t>
      </w:r>
      <w:r w:rsidR="006333D7">
        <w:t xml:space="preserve"> ratio is computed as: </w:t>
      </w:r>
    </w:p>
    <w:p w14:paraId="1FA2D1D8" w14:textId="7273E4D1" w:rsidR="009717C3" w:rsidRDefault="006333D7" w:rsidP="000152DC">
      <w:pPr>
        <w:spacing w:after="0"/>
      </w:pPr>
      <w:r>
        <w:t>CFR=</w:t>
      </w:r>
      <w:r w:rsidR="00365DD3">
        <w:rPr>
          <w:u w:val="single"/>
        </w:rPr>
        <w:t xml:space="preserve"> MR</w:t>
      </w:r>
      <w:r w:rsidR="00F31373">
        <w:rPr>
          <w:u w:val="single"/>
        </w:rPr>
        <w:t xml:space="preserve"> </w:t>
      </w:r>
      <w:r w:rsidR="00365DD3">
        <w:rPr>
          <w:u w:val="single"/>
        </w:rPr>
        <w:t>(</w:t>
      </w:r>
      <w:r w:rsidR="00A81C4B">
        <w:rPr>
          <w:u w:val="single"/>
        </w:rPr>
        <w:t>d</w:t>
      </w:r>
      <w:r w:rsidRPr="006333D7">
        <w:rPr>
          <w:u w:val="single"/>
        </w:rPr>
        <w:t>eath per 100,000 of population</w:t>
      </w:r>
      <w:r w:rsidR="00F31373">
        <w:rPr>
          <w:u w:val="single"/>
        </w:rPr>
        <w:t>)</w:t>
      </w:r>
      <w:r>
        <w:t xml:space="preserve"> </w:t>
      </w:r>
    </w:p>
    <w:p w14:paraId="39D6BD99" w14:textId="657B553A" w:rsidR="006333D7" w:rsidRDefault="00365DD3" w:rsidP="009717C3">
      <w:r>
        <w:t xml:space="preserve">            IR (no</w:t>
      </w:r>
      <w:r w:rsidR="006333D7">
        <w:t xml:space="preserve"> of new cases per 100,000 of population</w:t>
      </w:r>
      <w:r w:rsidR="00F31373">
        <w:t>)</w:t>
      </w:r>
    </w:p>
    <w:p w14:paraId="5F6B7AE9" w14:textId="77777777" w:rsidR="006333D7" w:rsidRDefault="006333D7" w:rsidP="009717C3"/>
    <w:p w14:paraId="3957385A" w14:textId="26F1EFF9" w:rsidR="006333D7" w:rsidRDefault="006333D7" w:rsidP="009717C3">
      <w:r>
        <w:lastRenderedPageBreak/>
        <w:t>Where MR= Mortality Rate; IR = Incidence Rate</w:t>
      </w:r>
    </w:p>
    <w:p w14:paraId="38B1ADCF" w14:textId="631E0C93" w:rsidR="009717C3" w:rsidRPr="009717C3" w:rsidRDefault="006333D7" w:rsidP="000152DC">
      <w:pPr>
        <w:spacing w:line="360" w:lineRule="auto"/>
        <w:ind w:left="-6" w:hanging="11"/>
        <w:jc w:val="both"/>
      </w:pPr>
      <w:r>
        <w:t xml:space="preserve">The formula gives the total number of new cases due to </w:t>
      </w:r>
      <w:r w:rsidR="00394C32">
        <w:t>a</w:t>
      </w:r>
      <w:r>
        <w:t xml:space="preserve">flatoxin intoxication </w:t>
      </w:r>
      <w:r w:rsidR="00394C32">
        <w:t xml:space="preserve">or the incidence rate (IR) per 100,000 of the relevant population. Due to poor prognosis of HCC the ratio of mortality rate is </w:t>
      </w:r>
      <w:r w:rsidR="00026FDF">
        <w:t xml:space="preserve">1.0 which is the </w:t>
      </w:r>
      <w:r w:rsidR="00394C32">
        <w:t xml:space="preserve">CFR used in this analysis as presented in Tables 9, 10 and 11. The </w:t>
      </w:r>
      <w:r w:rsidR="00B81689">
        <w:t>t</w:t>
      </w:r>
      <w:r w:rsidR="00394C32">
        <w:t xml:space="preserve">ables show that CFR of HCC is extremely high </w:t>
      </w:r>
      <w:r w:rsidR="001D03BF">
        <w:t xml:space="preserve">thus according to the assessment all HCC die within a period of 12 months. </w:t>
      </w:r>
      <w:r w:rsidR="009717C3">
        <w:t xml:space="preserve">  </w:t>
      </w:r>
    </w:p>
    <w:p w14:paraId="1344D097" w14:textId="77777777" w:rsidR="009717C3" w:rsidRDefault="009717C3" w:rsidP="009717C3">
      <w:pPr>
        <w:pStyle w:val="Heading3"/>
      </w:pPr>
    </w:p>
    <w:p w14:paraId="18531C0D" w14:textId="12D55DEA" w:rsidR="00BA3A76" w:rsidRPr="000152DC" w:rsidRDefault="003D7B12" w:rsidP="003E003B">
      <w:pPr>
        <w:pStyle w:val="Heading3"/>
        <w:spacing w:line="480" w:lineRule="auto"/>
        <w:jc w:val="both"/>
      </w:pPr>
      <w:bookmarkStart w:id="40" w:name="_Toc427672776"/>
      <w:r w:rsidRPr="000152DC">
        <w:t>8.4.</w:t>
      </w:r>
      <w:r w:rsidR="00EF210A">
        <w:t>6</w:t>
      </w:r>
      <w:r w:rsidR="00BA3A76" w:rsidRPr="000152DC">
        <w:t xml:space="preserve"> Overall impact of aflatoxins on agriculture and food security, trade and health</w:t>
      </w:r>
      <w:bookmarkEnd w:id="40"/>
    </w:p>
    <w:p w14:paraId="171D1661" w14:textId="4E15505B" w:rsidR="0003443A" w:rsidRDefault="00005730" w:rsidP="002A23D5">
      <w:pPr>
        <w:spacing w:line="360" w:lineRule="auto"/>
        <w:jc w:val="both"/>
      </w:pPr>
      <w:r>
        <w:t xml:space="preserve">The </w:t>
      </w:r>
      <w:r w:rsidR="00F56563">
        <w:t xml:space="preserve">economic </w:t>
      </w:r>
      <w:r>
        <w:t>analysis reveals</w:t>
      </w:r>
      <w:r w:rsidR="00ED39EA">
        <w:t xml:space="preserve"> </w:t>
      </w:r>
      <w:r w:rsidR="00F56563">
        <w:t xml:space="preserve">that the </w:t>
      </w:r>
      <w:r w:rsidR="00ED39EA">
        <w:t>impact on international trade</w:t>
      </w:r>
      <w:r w:rsidR="00F56563">
        <w:t xml:space="preserve"> is</w:t>
      </w:r>
      <w:r w:rsidR="00ED39EA">
        <w:t xml:space="preserve"> secondary to th</w:t>
      </w:r>
      <w:r w:rsidR="00F56563">
        <w:t xml:space="preserve">at of human </w:t>
      </w:r>
      <w:r w:rsidR="00ED39EA">
        <w:t xml:space="preserve"> health.</w:t>
      </w:r>
      <w:r>
        <w:t xml:space="preserve"> </w:t>
      </w:r>
      <w:r w:rsidR="002A23D5">
        <w:t>Figure 4</w:t>
      </w:r>
      <w:r w:rsidR="001313C5">
        <w:t xml:space="preserve"> </w:t>
      </w:r>
      <w:r w:rsidR="002A23D5">
        <w:t xml:space="preserve">shows that the economic losses to health comprise </w:t>
      </w:r>
      <w:r w:rsidR="001313C5">
        <w:t>98</w:t>
      </w:r>
      <w:r w:rsidR="002A23D5">
        <w:t xml:space="preserve">% of the losses computed compared to </w:t>
      </w:r>
      <w:r w:rsidR="001313C5">
        <w:t>2</w:t>
      </w:r>
      <w:r w:rsidR="002A23D5">
        <w:t xml:space="preserve">% for </w:t>
      </w:r>
      <w:r w:rsidR="001313C5">
        <w:t>international trade.</w:t>
      </w:r>
    </w:p>
    <w:p w14:paraId="0B0BDFE5" w14:textId="10682F57" w:rsidR="00F56563" w:rsidRDefault="00F56563" w:rsidP="00E4469F">
      <w:pPr>
        <w:spacing w:line="360" w:lineRule="auto"/>
        <w:jc w:val="center"/>
      </w:pPr>
      <w:r>
        <w:t>Figure 4: Economic losses from international trade and human health</w:t>
      </w:r>
    </w:p>
    <w:p w14:paraId="2EBD0367" w14:textId="12652904" w:rsidR="00F56563" w:rsidRDefault="006130C3" w:rsidP="006130C3">
      <w:pPr>
        <w:spacing w:line="360" w:lineRule="auto"/>
        <w:jc w:val="center"/>
      </w:pPr>
      <w:r>
        <w:rPr>
          <w:noProof/>
          <w:lang w:val="en-US" w:eastAsia="en-US"/>
        </w:rPr>
        <w:drawing>
          <wp:inline distT="0" distB="0" distL="0" distR="0" wp14:anchorId="4DE3494E" wp14:editId="0C1F6726">
            <wp:extent cx="3744000" cy="2592000"/>
            <wp:effectExtent l="0" t="0" r="889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B2C1B0" w14:textId="630E4A2B" w:rsidR="002A23D5" w:rsidRDefault="002A23D5" w:rsidP="007710B3">
      <w:pPr>
        <w:spacing w:line="360" w:lineRule="auto"/>
        <w:jc w:val="both"/>
      </w:pPr>
      <w:r>
        <w:t xml:space="preserve">   </w:t>
      </w:r>
    </w:p>
    <w:p w14:paraId="7114F029" w14:textId="77777777" w:rsidR="00386B46" w:rsidRDefault="00386B46" w:rsidP="006E427B"/>
    <w:p w14:paraId="4535183E" w14:textId="382A8257" w:rsidR="00183AFA" w:rsidRDefault="00A2765D" w:rsidP="00AA4E4F">
      <w:pPr>
        <w:pStyle w:val="Heading1"/>
        <w:jc w:val="both"/>
      </w:pPr>
      <w:bookmarkStart w:id="41" w:name="_Toc427672777"/>
      <w:r>
        <w:t>9</w:t>
      </w:r>
      <w:r w:rsidR="00DA5F13" w:rsidRPr="003232BF">
        <w:t xml:space="preserve">.0 </w:t>
      </w:r>
      <w:r w:rsidR="003232BF" w:rsidRPr="003232BF">
        <w:t xml:space="preserve">Identification of </w:t>
      </w:r>
      <w:r w:rsidR="005B4A69">
        <w:t>gaps</w:t>
      </w:r>
      <w:r w:rsidR="007364AB">
        <w:t xml:space="preserve"> and intervention</w:t>
      </w:r>
      <w:r w:rsidR="005B4A69">
        <w:t xml:space="preserve"> </w:t>
      </w:r>
      <w:r w:rsidR="00E955ED">
        <w:t xml:space="preserve">options </w:t>
      </w:r>
      <w:r w:rsidR="005D77F6" w:rsidRPr="003232BF">
        <w:t xml:space="preserve">for </w:t>
      </w:r>
      <w:r w:rsidR="005B4A69">
        <w:t xml:space="preserve">the mitigation of </w:t>
      </w:r>
      <w:r w:rsidR="003232BF" w:rsidRPr="003232BF">
        <w:t>aflatoxin c</w:t>
      </w:r>
      <w:r w:rsidR="005D77F6" w:rsidRPr="003232BF">
        <w:t>ont</w:t>
      </w:r>
      <w:r w:rsidR="005B4A69">
        <w:t>amination along the groundnut, maize and rice value chains</w:t>
      </w:r>
      <w:bookmarkEnd w:id="41"/>
    </w:p>
    <w:p w14:paraId="1CD6C7CA" w14:textId="77777777" w:rsidR="00A60F53" w:rsidRDefault="00A60F53" w:rsidP="00A60F53">
      <w:pPr>
        <w:spacing w:after="0" w:line="360" w:lineRule="auto"/>
        <w:ind w:left="0" w:firstLine="0"/>
      </w:pPr>
    </w:p>
    <w:p w14:paraId="67A4BEC5" w14:textId="1D50A2A9" w:rsidR="00715F26" w:rsidRDefault="00761C32" w:rsidP="00112925">
      <w:pPr>
        <w:spacing w:after="34" w:line="360" w:lineRule="auto"/>
        <w:jc w:val="both"/>
      </w:pPr>
      <w:r>
        <w:t xml:space="preserve">The country assessment </w:t>
      </w:r>
      <w:r w:rsidR="00183AFA">
        <w:t xml:space="preserve">revealed </w:t>
      </w:r>
      <w:r w:rsidR="00B311B7">
        <w:t xml:space="preserve">that awareness of aflatoxin in terms of its occurrence and effects among the producers, processors, informal traders, transporters, feed millers, poultry producers and consumers is low. Awareness among the public institutions whose work have a bearing on aflatoxin in maize and rice is </w:t>
      </w:r>
      <w:r w:rsidR="00B311B7">
        <w:lastRenderedPageBreak/>
        <w:t xml:space="preserve">low. Stakeholders have a low level of awareness of </w:t>
      </w:r>
      <w:r w:rsidR="00B311B7" w:rsidRPr="00877A1C">
        <w:t>the C</w:t>
      </w:r>
      <w:r w:rsidR="00962C7C">
        <w:t xml:space="preserve">odex </w:t>
      </w:r>
      <w:r w:rsidR="00B311B7" w:rsidRPr="00877A1C">
        <w:t>and national food safety and quality standards related to the three commodities</w:t>
      </w:r>
      <w:r w:rsidR="00B311B7">
        <w:t>.</w:t>
      </w:r>
      <w:r w:rsidR="00C6206E">
        <w:t xml:space="preserve"> </w:t>
      </w:r>
      <w:r w:rsidR="00715F26">
        <w:t xml:space="preserve">The EIF has organised workshops, developed posters, messages and a video to raise awareness on aflatoxin. </w:t>
      </w:r>
    </w:p>
    <w:p w14:paraId="7C0C4F92" w14:textId="77777777" w:rsidR="00C6206E" w:rsidRDefault="00C6206E" w:rsidP="00C6206E">
      <w:pPr>
        <w:spacing w:after="34" w:line="360" w:lineRule="auto"/>
        <w:jc w:val="both"/>
      </w:pPr>
    </w:p>
    <w:p w14:paraId="40F4AFF9" w14:textId="17691224" w:rsidR="00C6206E" w:rsidRDefault="00C6206E" w:rsidP="00C6206E">
      <w:pPr>
        <w:spacing w:after="34" w:line="360" w:lineRule="auto"/>
        <w:ind w:left="0" w:firstLine="0"/>
        <w:rPr>
          <w:b/>
        </w:rPr>
      </w:pPr>
      <w:r w:rsidRPr="009A1D8A">
        <w:rPr>
          <w:b/>
        </w:rPr>
        <w:t>I</w:t>
      </w:r>
      <w:r w:rsidR="00621EDE" w:rsidRPr="009A1D8A">
        <w:rPr>
          <w:b/>
        </w:rPr>
        <w:t>ntervention options</w:t>
      </w:r>
      <w:r w:rsidRPr="009A1D8A">
        <w:rPr>
          <w:b/>
        </w:rPr>
        <w:t>:</w:t>
      </w:r>
    </w:p>
    <w:p w14:paraId="6374E4EE" w14:textId="77777777" w:rsidR="007E1434" w:rsidRDefault="007E1434" w:rsidP="007E1434">
      <w:pPr>
        <w:pStyle w:val="ListParagraph"/>
        <w:numPr>
          <w:ilvl w:val="0"/>
          <w:numId w:val="29"/>
        </w:numPr>
        <w:spacing w:after="34" w:line="360" w:lineRule="auto"/>
        <w:jc w:val="both"/>
      </w:pPr>
      <w:r>
        <w:t>Organise a national conference to build consensus on actions to be taken to address the aflatoxin situation in The Gambia.</w:t>
      </w:r>
    </w:p>
    <w:p w14:paraId="09F0E4FD" w14:textId="3349A817" w:rsidR="00F709EF" w:rsidRDefault="003D41BE" w:rsidP="00D5203A">
      <w:pPr>
        <w:pStyle w:val="ListParagraph"/>
        <w:numPr>
          <w:ilvl w:val="0"/>
          <w:numId w:val="29"/>
        </w:numPr>
        <w:spacing w:after="34" w:line="360" w:lineRule="auto"/>
        <w:jc w:val="both"/>
      </w:pPr>
      <w:r>
        <w:t>Develop and implement a national communication strategy to c</w:t>
      </w:r>
      <w:r w:rsidR="00F709EF">
        <w:t xml:space="preserve">reate </w:t>
      </w:r>
      <w:r w:rsidR="00924928" w:rsidRPr="00924928">
        <w:t xml:space="preserve">awareness on </w:t>
      </w:r>
      <w:r w:rsidR="00F709EF">
        <w:t xml:space="preserve">the </w:t>
      </w:r>
      <w:r w:rsidR="00924928" w:rsidRPr="00924928">
        <w:t>aflatoxin situation</w:t>
      </w:r>
      <w:r w:rsidR="00112925">
        <w:t>, effects</w:t>
      </w:r>
      <w:r w:rsidR="00924928" w:rsidRPr="00924928">
        <w:t xml:space="preserve"> </w:t>
      </w:r>
      <w:r>
        <w:t xml:space="preserve">and mitigation measures </w:t>
      </w:r>
      <w:r w:rsidR="00715F26">
        <w:t>targeted at the various value chain actors</w:t>
      </w:r>
      <w:r>
        <w:t>, service providers, policy makers, legislators, public institutions,</w:t>
      </w:r>
      <w:r w:rsidR="00715F26">
        <w:t xml:space="preserve"> </w:t>
      </w:r>
      <w:r w:rsidR="00BA42F8">
        <w:t xml:space="preserve">consumers </w:t>
      </w:r>
      <w:r w:rsidR="00715F26">
        <w:t>and consumer groups</w:t>
      </w:r>
      <w:r w:rsidR="00924928">
        <w:t>.</w:t>
      </w:r>
    </w:p>
    <w:p w14:paraId="2C45DE29" w14:textId="77777777" w:rsidR="008C45CC" w:rsidRDefault="008C45CC" w:rsidP="00223232">
      <w:pPr>
        <w:spacing w:after="34" w:line="360" w:lineRule="auto"/>
        <w:ind w:left="0" w:firstLine="0"/>
      </w:pPr>
    </w:p>
    <w:p w14:paraId="633BFAAF" w14:textId="6B45ACEB" w:rsidR="00223232" w:rsidRDefault="00A2765D" w:rsidP="00A2765D">
      <w:pPr>
        <w:pStyle w:val="Heading2"/>
      </w:pPr>
      <w:bookmarkStart w:id="42" w:name="_Toc427672778"/>
      <w:r>
        <w:t>9</w:t>
      </w:r>
      <w:r w:rsidR="00223232" w:rsidRPr="00F57F75">
        <w:t>.1 Identifications of gaps</w:t>
      </w:r>
      <w:r w:rsidR="00E23DE9" w:rsidRPr="00F57F75">
        <w:t xml:space="preserve"> along the value chain</w:t>
      </w:r>
      <w:r w:rsidR="00F57F75">
        <w:t>s</w:t>
      </w:r>
      <w:bookmarkEnd w:id="42"/>
    </w:p>
    <w:p w14:paraId="278C8851" w14:textId="77777777" w:rsidR="00F57F75" w:rsidRPr="00F57F75" w:rsidRDefault="00F57F75" w:rsidP="00F57F75"/>
    <w:p w14:paraId="7D9E5BE2" w14:textId="57005746" w:rsidR="00155C8E" w:rsidRDefault="005B4A69" w:rsidP="003D41BE">
      <w:pPr>
        <w:spacing w:after="34" w:line="360" w:lineRule="auto"/>
        <w:ind w:left="0" w:firstLine="0"/>
        <w:jc w:val="both"/>
      </w:pPr>
      <w:r>
        <w:t>The gaps</w:t>
      </w:r>
      <w:r w:rsidR="001F4EB1">
        <w:t xml:space="preserve"> </w:t>
      </w:r>
      <w:r w:rsidR="002D6874">
        <w:t xml:space="preserve">along the value chains of the three commodities </w:t>
      </w:r>
      <w:r w:rsidR="001F4EB1">
        <w:t xml:space="preserve">were assessed against the </w:t>
      </w:r>
      <w:r w:rsidR="006131B4">
        <w:t xml:space="preserve">Codex </w:t>
      </w:r>
      <w:r w:rsidR="001F4EB1">
        <w:t>standards</w:t>
      </w:r>
      <w:r w:rsidR="0022648F">
        <w:t xml:space="preserve"> and codes of practice. These are: General Principles of Food Hygiene; General Standard for Contaminants and Toxins in Food and Feed;</w:t>
      </w:r>
      <w:r w:rsidR="006F041E">
        <w:t xml:space="preserve"> Code of Practice for</w:t>
      </w:r>
      <w:r w:rsidR="00176FB4">
        <w:t xml:space="preserve"> P</w:t>
      </w:r>
      <w:r w:rsidR="006F041E">
        <w:t>eanuts; C</w:t>
      </w:r>
      <w:r w:rsidR="0022648F">
        <w:t>ode</w:t>
      </w:r>
      <w:r w:rsidR="006131B4">
        <w:t xml:space="preserve"> of </w:t>
      </w:r>
      <w:r w:rsidR="006F041E">
        <w:t>P</w:t>
      </w:r>
      <w:r w:rsidR="006131B4">
        <w:t xml:space="preserve">ractice </w:t>
      </w:r>
      <w:r w:rsidR="00155C8E">
        <w:t xml:space="preserve">for the </w:t>
      </w:r>
      <w:r w:rsidR="006F041E">
        <w:t>Prevention and R</w:t>
      </w:r>
      <w:r w:rsidR="006131B4">
        <w:t>eduction of Aflatoxin</w:t>
      </w:r>
      <w:r w:rsidR="00176FB4">
        <w:t xml:space="preserve"> Contamination in P</w:t>
      </w:r>
      <w:r w:rsidR="006F041E">
        <w:t>eanuts;</w:t>
      </w:r>
      <w:r w:rsidR="006131B4">
        <w:t xml:space="preserve"> </w:t>
      </w:r>
      <w:r w:rsidR="00176FB4">
        <w:t>Code of P</w:t>
      </w:r>
      <w:r w:rsidR="006F041E">
        <w:t>r</w:t>
      </w:r>
      <w:r w:rsidR="00176FB4">
        <w:t>actice for the Prevention</w:t>
      </w:r>
      <w:r w:rsidR="006F041E">
        <w:t xml:space="preserve"> and </w:t>
      </w:r>
      <w:r w:rsidR="00176FB4">
        <w:t>R</w:t>
      </w:r>
      <w:r w:rsidR="006F041E">
        <w:t xml:space="preserve">eduction of </w:t>
      </w:r>
      <w:r w:rsidR="00176FB4">
        <w:t>M</w:t>
      </w:r>
      <w:r w:rsidR="006F041E">
        <w:t>ycotoxin</w:t>
      </w:r>
      <w:r w:rsidR="00176FB4">
        <w:t>s C</w:t>
      </w:r>
      <w:r w:rsidR="006F041E">
        <w:t xml:space="preserve">ontamination </w:t>
      </w:r>
      <w:r w:rsidR="00176FB4">
        <w:t>in C</w:t>
      </w:r>
      <w:r w:rsidR="006F041E">
        <w:t>ereals; Code of Hygienic Pr</w:t>
      </w:r>
      <w:r w:rsidR="00176FB4">
        <w:t xml:space="preserve">actice </w:t>
      </w:r>
      <w:r w:rsidR="006F041E">
        <w:t>in Groundnuts (peanuts)</w:t>
      </w:r>
      <w:r w:rsidR="00176FB4">
        <w:t>, Standard for Groundnut, Standard for Maize and Standard for Rice.</w:t>
      </w:r>
    </w:p>
    <w:p w14:paraId="1AB356C9" w14:textId="1864D36D" w:rsidR="00C61276" w:rsidRPr="0094607A" w:rsidRDefault="00A733B0" w:rsidP="000D326F">
      <w:pPr>
        <w:spacing w:after="34" w:line="360" w:lineRule="auto"/>
        <w:ind w:left="0" w:firstLine="0"/>
        <w:jc w:val="both"/>
        <w:rPr>
          <w:rFonts w:eastAsia="Calibri"/>
          <w:b/>
        </w:rPr>
      </w:pPr>
      <w:r w:rsidRPr="0094607A">
        <w:rPr>
          <w:rFonts w:eastAsia="Calibri"/>
          <w:b/>
        </w:rPr>
        <w:t xml:space="preserve">At </w:t>
      </w:r>
      <w:r w:rsidR="00C61276" w:rsidRPr="0094607A">
        <w:rPr>
          <w:rFonts w:eastAsia="Calibri"/>
          <w:b/>
        </w:rPr>
        <w:t>farm level</w:t>
      </w:r>
    </w:p>
    <w:p w14:paraId="28B7E9E8" w14:textId="6FC4326F" w:rsidR="00C61276" w:rsidRDefault="00C61276" w:rsidP="00CD5957">
      <w:pPr>
        <w:spacing w:after="34" w:line="360" w:lineRule="auto"/>
        <w:jc w:val="both"/>
        <w:rPr>
          <w:color w:val="auto"/>
        </w:rPr>
      </w:pPr>
      <w:r w:rsidRPr="00CD5957">
        <w:rPr>
          <w:rFonts w:eastAsia="Calibri"/>
        </w:rPr>
        <w:t xml:space="preserve">Application of GAP </w:t>
      </w:r>
      <w:r w:rsidR="00987B1F" w:rsidRPr="00CD5957">
        <w:rPr>
          <w:rFonts w:eastAsia="Calibri"/>
        </w:rPr>
        <w:t>for the production of safe and quality produce with a focus on aflatoxin mitigation is l</w:t>
      </w:r>
      <w:r w:rsidR="008778B2" w:rsidRPr="00CD5957">
        <w:rPr>
          <w:rFonts w:eastAsia="Calibri"/>
        </w:rPr>
        <w:t xml:space="preserve">imited </w:t>
      </w:r>
      <w:r w:rsidR="00DB3931" w:rsidRPr="00CD5957">
        <w:rPr>
          <w:rFonts w:eastAsia="Calibri"/>
        </w:rPr>
        <w:t>by low</w:t>
      </w:r>
      <w:r w:rsidR="008778B2" w:rsidRPr="00CD5957">
        <w:rPr>
          <w:color w:val="auto"/>
        </w:rPr>
        <w:t xml:space="preserve"> access to inputs</w:t>
      </w:r>
      <w:r w:rsidR="005123CF" w:rsidRPr="00CD5957">
        <w:rPr>
          <w:color w:val="auto"/>
        </w:rPr>
        <w:t>, knowledge</w:t>
      </w:r>
      <w:r w:rsidR="00DB3931" w:rsidRPr="00CD5957">
        <w:rPr>
          <w:color w:val="auto"/>
        </w:rPr>
        <w:t xml:space="preserve"> and information.</w:t>
      </w:r>
      <w:r w:rsidR="00CD5957" w:rsidRPr="00CD5957">
        <w:rPr>
          <w:color w:val="auto"/>
        </w:rPr>
        <w:t xml:space="preserve"> </w:t>
      </w:r>
    </w:p>
    <w:p w14:paraId="128D6D18" w14:textId="3D5F3BA2" w:rsidR="003D41BE" w:rsidRDefault="005862B2" w:rsidP="00CD5957">
      <w:pPr>
        <w:spacing w:after="34" w:line="360" w:lineRule="auto"/>
        <w:jc w:val="both"/>
        <w:rPr>
          <w:color w:val="auto"/>
        </w:rPr>
      </w:pPr>
      <w:r>
        <w:rPr>
          <w:color w:val="auto"/>
        </w:rPr>
        <w:t>Identified g</w:t>
      </w:r>
      <w:r w:rsidR="003D41BE">
        <w:rPr>
          <w:color w:val="auto"/>
        </w:rPr>
        <w:t>aps</w:t>
      </w:r>
      <w:r w:rsidR="001304A1">
        <w:rPr>
          <w:color w:val="auto"/>
        </w:rPr>
        <w:t>:</w:t>
      </w:r>
    </w:p>
    <w:p w14:paraId="3A25BDD8" w14:textId="554C9531" w:rsidR="00CD5957" w:rsidRDefault="00CD5957" w:rsidP="00CD5957">
      <w:pPr>
        <w:pStyle w:val="ListParagraph"/>
        <w:numPr>
          <w:ilvl w:val="0"/>
          <w:numId w:val="9"/>
        </w:numPr>
        <w:spacing w:after="34" w:line="360" w:lineRule="auto"/>
        <w:jc w:val="both"/>
        <w:rPr>
          <w:rFonts w:eastAsia="Calibri"/>
        </w:rPr>
      </w:pPr>
      <w:r>
        <w:rPr>
          <w:rFonts w:eastAsia="Calibri"/>
        </w:rPr>
        <w:t>Unavailability of certified seeds</w:t>
      </w:r>
    </w:p>
    <w:p w14:paraId="243D0DF1" w14:textId="16E0B46B" w:rsidR="00CD5957" w:rsidRDefault="00A81F44" w:rsidP="00CD5957">
      <w:pPr>
        <w:pStyle w:val="ListParagraph"/>
        <w:numPr>
          <w:ilvl w:val="0"/>
          <w:numId w:val="9"/>
        </w:numPr>
        <w:spacing w:after="34" w:line="360" w:lineRule="auto"/>
        <w:jc w:val="both"/>
        <w:rPr>
          <w:rFonts w:eastAsia="Calibri"/>
        </w:rPr>
      </w:pPr>
      <w:r>
        <w:rPr>
          <w:rFonts w:eastAsia="Calibri"/>
        </w:rPr>
        <w:t xml:space="preserve">Unavailability and unaffordability of inputs – approved agrochemicals, fertilizers, appropriate </w:t>
      </w:r>
      <w:r w:rsidR="003F3B1B">
        <w:rPr>
          <w:rFonts w:eastAsia="Calibri"/>
        </w:rPr>
        <w:t xml:space="preserve">measuring devices, tools, </w:t>
      </w:r>
      <w:r>
        <w:rPr>
          <w:rFonts w:eastAsia="Calibri"/>
        </w:rPr>
        <w:t>implements</w:t>
      </w:r>
      <w:r w:rsidR="003F3B1B">
        <w:rPr>
          <w:rFonts w:eastAsia="Calibri"/>
        </w:rPr>
        <w:t xml:space="preserve"> and</w:t>
      </w:r>
      <w:r>
        <w:rPr>
          <w:rFonts w:eastAsia="Calibri"/>
        </w:rPr>
        <w:t xml:space="preserve"> technologies, </w:t>
      </w:r>
      <w:r w:rsidR="003F3B1B">
        <w:rPr>
          <w:rFonts w:eastAsia="Calibri"/>
        </w:rPr>
        <w:t xml:space="preserve">proper </w:t>
      </w:r>
      <w:r>
        <w:rPr>
          <w:rFonts w:eastAsia="Calibri"/>
        </w:rPr>
        <w:t>packaging</w:t>
      </w:r>
    </w:p>
    <w:p w14:paraId="6D73097F" w14:textId="46095A4D" w:rsidR="0052486E" w:rsidRDefault="0052486E" w:rsidP="00CD5957">
      <w:pPr>
        <w:pStyle w:val="ListParagraph"/>
        <w:numPr>
          <w:ilvl w:val="0"/>
          <w:numId w:val="9"/>
        </w:numPr>
        <w:spacing w:after="34" w:line="360" w:lineRule="auto"/>
        <w:jc w:val="both"/>
        <w:rPr>
          <w:rFonts w:eastAsia="Calibri"/>
        </w:rPr>
      </w:pPr>
      <w:r>
        <w:rPr>
          <w:rFonts w:eastAsia="Calibri"/>
        </w:rPr>
        <w:t xml:space="preserve">Inadequate drying of groundnuts </w:t>
      </w:r>
    </w:p>
    <w:p w14:paraId="7F437884" w14:textId="67B17013" w:rsidR="00E1730E" w:rsidRDefault="0052486E" w:rsidP="00CD5957">
      <w:pPr>
        <w:pStyle w:val="ListParagraph"/>
        <w:numPr>
          <w:ilvl w:val="0"/>
          <w:numId w:val="9"/>
        </w:numPr>
        <w:spacing w:after="34" w:line="360" w:lineRule="auto"/>
        <w:jc w:val="both"/>
        <w:rPr>
          <w:rFonts w:eastAsia="Calibri"/>
        </w:rPr>
      </w:pPr>
      <w:r>
        <w:rPr>
          <w:rFonts w:eastAsia="Calibri"/>
        </w:rPr>
        <w:t>Inappropriate</w:t>
      </w:r>
      <w:r w:rsidR="00E1730E">
        <w:rPr>
          <w:rFonts w:eastAsia="Calibri"/>
        </w:rPr>
        <w:t xml:space="preserve"> storage infrastructure</w:t>
      </w:r>
    </w:p>
    <w:p w14:paraId="0A647461" w14:textId="76A8B80B" w:rsidR="007A4213" w:rsidRDefault="007A4213" w:rsidP="00CD5957">
      <w:pPr>
        <w:pStyle w:val="ListParagraph"/>
        <w:numPr>
          <w:ilvl w:val="0"/>
          <w:numId w:val="9"/>
        </w:numPr>
        <w:spacing w:after="34" w:line="360" w:lineRule="auto"/>
        <w:jc w:val="both"/>
        <w:rPr>
          <w:rFonts w:eastAsia="Calibri"/>
        </w:rPr>
      </w:pPr>
      <w:r>
        <w:rPr>
          <w:rFonts w:eastAsia="Calibri"/>
        </w:rPr>
        <w:t xml:space="preserve">Lack of rapid test kits for aflatoxin and moisture determination on </w:t>
      </w:r>
      <w:r w:rsidR="00B71C18">
        <w:rPr>
          <w:rFonts w:eastAsia="Calibri"/>
        </w:rPr>
        <w:t xml:space="preserve">farm </w:t>
      </w:r>
      <w:r>
        <w:rPr>
          <w:rFonts w:eastAsia="Calibri"/>
        </w:rPr>
        <w:t xml:space="preserve">site </w:t>
      </w:r>
    </w:p>
    <w:p w14:paraId="2A80BDAE" w14:textId="03085F7A" w:rsidR="003D41BE" w:rsidRDefault="003D41BE" w:rsidP="003D41BE">
      <w:pPr>
        <w:spacing w:after="34" w:line="360" w:lineRule="auto"/>
        <w:jc w:val="both"/>
        <w:rPr>
          <w:rFonts w:eastAsia="Calibri"/>
        </w:rPr>
      </w:pPr>
      <w:r>
        <w:rPr>
          <w:rFonts w:eastAsia="Calibri"/>
        </w:rPr>
        <w:t>Intervention options:</w:t>
      </w:r>
    </w:p>
    <w:p w14:paraId="48CB2324" w14:textId="5FB006BB" w:rsidR="003D41BE" w:rsidRPr="003D41BE" w:rsidRDefault="003D41BE" w:rsidP="003D41BE">
      <w:pPr>
        <w:pStyle w:val="ListParagraph"/>
        <w:numPr>
          <w:ilvl w:val="0"/>
          <w:numId w:val="30"/>
        </w:numPr>
        <w:spacing w:after="34" w:line="360" w:lineRule="auto"/>
        <w:jc w:val="both"/>
        <w:rPr>
          <w:rFonts w:eastAsia="Calibri"/>
          <w:color w:val="auto"/>
        </w:rPr>
      </w:pPr>
      <w:r>
        <w:rPr>
          <w:rFonts w:eastAsia="Calibri"/>
          <w:color w:val="auto"/>
        </w:rPr>
        <w:t>Consolidate and expand the FFS interventions targeting the production of quality and safe groundnuts to maize and rice value chains.</w:t>
      </w:r>
    </w:p>
    <w:p w14:paraId="7CBDC84D" w14:textId="7EFF2AC4" w:rsidR="003D41BE" w:rsidRPr="00393DF5" w:rsidRDefault="003D41BE" w:rsidP="003D41BE">
      <w:pPr>
        <w:pStyle w:val="ListParagraph"/>
        <w:numPr>
          <w:ilvl w:val="0"/>
          <w:numId w:val="30"/>
        </w:numPr>
        <w:spacing w:after="34" w:line="360" w:lineRule="auto"/>
        <w:jc w:val="both"/>
        <w:rPr>
          <w:rFonts w:eastAsia="Calibri"/>
          <w:color w:val="000000" w:themeColor="text1"/>
        </w:rPr>
      </w:pPr>
      <w:r w:rsidRPr="003D41BE">
        <w:rPr>
          <w:rFonts w:eastAsia="Calibri"/>
          <w:color w:val="auto"/>
        </w:rPr>
        <w:lastRenderedPageBreak/>
        <w:t>Include aflatoxin mitigati</w:t>
      </w:r>
      <w:r w:rsidRPr="00393DF5">
        <w:rPr>
          <w:rFonts w:eastAsia="Calibri"/>
          <w:color w:val="000000" w:themeColor="text1"/>
        </w:rPr>
        <w:t>on in the work plans of the public extension services (DOA, DLS).</w:t>
      </w:r>
    </w:p>
    <w:p w14:paraId="70B9055D" w14:textId="5307496A" w:rsidR="00D07CB0" w:rsidRPr="00393DF5" w:rsidRDefault="00393DF5" w:rsidP="003D41BE">
      <w:pPr>
        <w:pStyle w:val="ListParagraph"/>
        <w:numPr>
          <w:ilvl w:val="0"/>
          <w:numId w:val="30"/>
        </w:numPr>
        <w:spacing w:after="34" w:line="360" w:lineRule="auto"/>
        <w:jc w:val="both"/>
        <w:rPr>
          <w:rFonts w:eastAsia="Calibri"/>
          <w:color w:val="000000" w:themeColor="text1"/>
        </w:rPr>
      </w:pPr>
      <w:r w:rsidRPr="00393DF5">
        <w:rPr>
          <w:rFonts w:eastAsia="Calibri"/>
          <w:color w:val="000000" w:themeColor="text1"/>
        </w:rPr>
        <w:t>Facilitate a</w:t>
      </w:r>
      <w:r w:rsidR="00D07CB0" w:rsidRPr="00393DF5">
        <w:rPr>
          <w:rFonts w:eastAsia="Calibri"/>
          <w:color w:val="000000" w:themeColor="text1"/>
        </w:rPr>
        <w:t xml:space="preserve">ccess to </w:t>
      </w:r>
      <w:r w:rsidRPr="00393DF5">
        <w:rPr>
          <w:rFonts w:eastAsia="Calibri"/>
          <w:color w:val="000000" w:themeColor="text1"/>
        </w:rPr>
        <w:t>i</w:t>
      </w:r>
      <w:r w:rsidR="00D07CB0" w:rsidRPr="00393DF5">
        <w:rPr>
          <w:rFonts w:eastAsia="Calibri"/>
          <w:color w:val="000000" w:themeColor="text1"/>
        </w:rPr>
        <w:t>nputs</w:t>
      </w:r>
      <w:r w:rsidR="007A49B1" w:rsidRPr="00393DF5">
        <w:rPr>
          <w:rFonts w:eastAsia="Calibri"/>
          <w:color w:val="000000" w:themeColor="text1"/>
        </w:rPr>
        <w:t xml:space="preserve"> and certified seeds</w:t>
      </w:r>
    </w:p>
    <w:p w14:paraId="5F52118D" w14:textId="5A958CE9" w:rsidR="007A49B1" w:rsidRPr="00393DF5" w:rsidRDefault="00393DF5" w:rsidP="003D41BE">
      <w:pPr>
        <w:pStyle w:val="ListParagraph"/>
        <w:numPr>
          <w:ilvl w:val="0"/>
          <w:numId w:val="30"/>
        </w:numPr>
        <w:spacing w:after="34" w:line="360" w:lineRule="auto"/>
        <w:jc w:val="both"/>
        <w:rPr>
          <w:rFonts w:eastAsia="Calibri"/>
          <w:color w:val="000000" w:themeColor="text1"/>
        </w:rPr>
      </w:pPr>
      <w:r w:rsidRPr="00393DF5">
        <w:rPr>
          <w:rFonts w:eastAsia="Calibri"/>
          <w:color w:val="000000" w:themeColor="text1"/>
        </w:rPr>
        <w:t>Facilitate a</w:t>
      </w:r>
      <w:r w:rsidR="007A49B1" w:rsidRPr="00393DF5">
        <w:rPr>
          <w:rFonts w:eastAsia="Calibri"/>
          <w:color w:val="000000" w:themeColor="text1"/>
        </w:rPr>
        <w:t>ccess to credit</w:t>
      </w:r>
    </w:p>
    <w:p w14:paraId="7C8C0B37" w14:textId="5610924E" w:rsidR="00CD5957" w:rsidRPr="0094607A" w:rsidRDefault="003D41BE" w:rsidP="002F1530">
      <w:pPr>
        <w:spacing w:after="34" w:line="360" w:lineRule="auto"/>
        <w:ind w:left="0" w:firstLine="0"/>
        <w:jc w:val="both"/>
        <w:rPr>
          <w:rFonts w:eastAsia="Calibri"/>
          <w:b/>
        </w:rPr>
      </w:pPr>
      <w:r w:rsidRPr="0094607A">
        <w:rPr>
          <w:rFonts w:eastAsia="Calibri"/>
          <w:b/>
        </w:rPr>
        <w:t>T</w:t>
      </w:r>
      <w:r w:rsidR="002F1530" w:rsidRPr="0094607A">
        <w:rPr>
          <w:rFonts w:eastAsia="Calibri"/>
          <w:b/>
        </w:rPr>
        <w:t xml:space="preserve">ransportation facilities </w:t>
      </w:r>
    </w:p>
    <w:p w14:paraId="39D49F82" w14:textId="097F9623" w:rsidR="003D41BE" w:rsidRPr="002F1530" w:rsidRDefault="00393DF5" w:rsidP="002F1530">
      <w:pPr>
        <w:spacing w:after="34" w:line="360" w:lineRule="auto"/>
        <w:ind w:left="0" w:firstLine="0"/>
        <w:jc w:val="both"/>
        <w:rPr>
          <w:rFonts w:eastAsia="Calibri"/>
        </w:rPr>
      </w:pPr>
      <w:r>
        <w:rPr>
          <w:rFonts w:eastAsia="Calibri"/>
        </w:rPr>
        <w:t>Identified g</w:t>
      </w:r>
      <w:r w:rsidR="003D41BE">
        <w:rPr>
          <w:rFonts w:eastAsia="Calibri"/>
        </w:rPr>
        <w:t>ap</w:t>
      </w:r>
      <w:r w:rsidR="001304A1">
        <w:rPr>
          <w:rFonts w:eastAsia="Calibri"/>
        </w:rPr>
        <w:t>:</w:t>
      </w:r>
    </w:p>
    <w:p w14:paraId="0D075332" w14:textId="1DF13C65" w:rsidR="00BA79F5" w:rsidRPr="00F33AC3" w:rsidRDefault="003D41BE" w:rsidP="00BA79F5">
      <w:pPr>
        <w:pStyle w:val="ListParagraph"/>
        <w:numPr>
          <w:ilvl w:val="0"/>
          <w:numId w:val="10"/>
        </w:numPr>
        <w:spacing w:after="34" w:line="360" w:lineRule="auto"/>
        <w:jc w:val="both"/>
        <w:rPr>
          <w:rFonts w:eastAsia="Calibri"/>
        </w:rPr>
      </w:pPr>
      <w:r>
        <w:t>C</w:t>
      </w:r>
      <w:r w:rsidR="00BA79F5">
        <w:t xml:space="preserve">arts, lorries and barges </w:t>
      </w:r>
      <w:r w:rsidR="007A49B1">
        <w:t xml:space="preserve">to carry produce </w:t>
      </w:r>
      <w:r w:rsidR="00BA79F5">
        <w:t xml:space="preserve">are not properly cleaned and disinfected after each operation. </w:t>
      </w:r>
    </w:p>
    <w:p w14:paraId="232D6744" w14:textId="77777777" w:rsidR="003D41BE" w:rsidRDefault="003D41BE" w:rsidP="003D41BE">
      <w:pPr>
        <w:spacing w:after="34" w:line="360" w:lineRule="auto"/>
        <w:ind w:left="0" w:firstLine="0"/>
        <w:jc w:val="both"/>
        <w:rPr>
          <w:rFonts w:eastAsia="Calibri"/>
        </w:rPr>
      </w:pPr>
      <w:r w:rsidRPr="003D41BE">
        <w:rPr>
          <w:rFonts w:eastAsia="Calibri"/>
        </w:rPr>
        <w:t>Intervention options:</w:t>
      </w:r>
    </w:p>
    <w:p w14:paraId="136BA1DD" w14:textId="0F43DF7A" w:rsidR="003D41BE" w:rsidRDefault="007A49B1" w:rsidP="007A49B1">
      <w:pPr>
        <w:pStyle w:val="ListParagraph"/>
        <w:numPr>
          <w:ilvl w:val="0"/>
          <w:numId w:val="10"/>
        </w:numPr>
        <w:spacing w:after="34" w:line="360" w:lineRule="auto"/>
        <w:jc w:val="both"/>
        <w:rPr>
          <w:rFonts w:eastAsia="Calibri"/>
        </w:rPr>
      </w:pPr>
      <w:r>
        <w:rPr>
          <w:rFonts w:eastAsia="Calibri"/>
        </w:rPr>
        <w:t>FSQA to</w:t>
      </w:r>
      <w:r w:rsidR="00393DF5">
        <w:rPr>
          <w:rFonts w:eastAsia="Calibri"/>
        </w:rPr>
        <w:t xml:space="preserve"> develop guidelines and</w:t>
      </w:r>
      <w:r>
        <w:rPr>
          <w:rFonts w:eastAsia="Calibri"/>
        </w:rPr>
        <w:t xml:space="preserve"> ensure that good transportation practices are applied by </w:t>
      </w:r>
      <w:r w:rsidR="003D41BE">
        <w:t>lorr</w:t>
      </w:r>
      <w:r>
        <w:t>y</w:t>
      </w:r>
      <w:r w:rsidR="003D41BE">
        <w:t xml:space="preserve"> and barge</w:t>
      </w:r>
      <w:r>
        <w:t xml:space="preserve"> operators.</w:t>
      </w:r>
      <w:r>
        <w:rPr>
          <w:rFonts w:eastAsia="Calibri"/>
        </w:rPr>
        <w:t xml:space="preserve"> </w:t>
      </w:r>
    </w:p>
    <w:p w14:paraId="4EE63425" w14:textId="12240339" w:rsidR="00F33AC3" w:rsidRPr="0094607A" w:rsidRDefault="00F33AC3" w:rsidP="007A49B1">
      <w:pPr>
        <w:spacing w:after="34" w:line="360" w:lineRule="auto"/>
        <w:ind w:left="0" w:firstLine="0"/>
        <w:jc w:val="both"/>
        <w:rPr>
          <w:rFonts w:eastAsia="Calibri"/>
          <w:b/>
        </w:rPr>
      </w:pPr>
      <w:r w:rsidRPr="0094607A">
        <w:rPr>
          <w:rFonts w:eastAsia="Calibri"/>
          <w:b/>
        </w:rPr>
        <w:t>Processing</w:t>
      </w:r>
    </w:p>
    <w:p w14:paraId="484B3248" w14:textId="7EAF7FD9" w:rsidR="007A49B1" w:rsidRDefault="00393DF5" w:rsidP="007A49B1">
      <w:pPr>
        <w:spacing w:after="34" w:line="360" w:lineRule="auto"/>
        <w:ind w:left="0" w:firstLine="0"/>
        <w:jc w:val="both"/>
        <w:rPr>
          <w:rFonts w:eastAsia="Calibri"/>
        </w:rPr>
      </w:pPr>
      <w:r>
        <w:rPr>
          <w:rFonts w:eastAsia="Calibri"/>
        </w:rPr>
        <w:t>Identified g</w:t>
      </w:r>
      <w:r w:rsidR="007A49B1">
        <w:rPr>
          <w:rFonts w:eastAsia="Calibri"/>
        </w:rPr>
        <w:t>aps</w:t>
      </w:r>
      <w:r w:rsidR="001304A1">
        <w:rPr>
          <w:rFonts w:eastAsia="Calibri"/>
        </w:rPr>
        <w:t>:</w:t>
      </w:r>
    </w:p>
    <w:p w14:paraId="6867C309" w14:textId="77777777" w:rsidR="00804E50" w:rsidRDefault="00804E50" w:rsidP="00B1707D">
      <w:pPr>
        <w:pStyle w:val="ListParagraph"/>
        <w:numPr>
          <w:ilvl w:val="0"/>
          <w:numId w:val="10"/>
        </w:numPr>
        <w:spacing w:after="157" w:line="360" w:lineRule="auto"/>
        <w:jc w:val="both"/>
      </w:pPr>
      <w:r>
        <w:t>Soaking before decorticating groundnuts for further processing</w:t>
      </w:r>
    </w:p>
    <w:p w14:paraId="4502216B" w14:textId="33B4AFC6" w:rsidR="00804E50" w:rsidRDefault="00E1730E" w:rsidP="00B1707D">
      <w:pPr>
        <w:pStyle w:val="ListParagraph"/>
        <w:numPr>
          <w:ilvl w:val="0"/>
          <w:numId w:val="10"/>
        </w:numPr>
        <w:spacing w:after="157" w:line="360" w:lineRule="auto"/>
        <w:jc w:val="both"/>
      </w:pPr>
      <w:r w:rsidRPr="00306CBA">
        <w:t>The use</w:t>
      </w:r>
      <w:r w:rsidR="007023C9">
        <w:t xml:space="preserve"> of</w:t>
      </w:r>
      <w:r w:rsidRPr="00306CBA">
        <w:t xml:space="preserve"> </w:t>
      </w:r>
      <w:r>
        <w:t>defective</w:t>
      </w:r>
      <w:r w:rsidRPr="00306CBA">
        <w:t xml:space="preserve"> </w:t>
      </w:r>
      <w:r w:rsidR="00804E50">
        <w:t>nuts for processing</w:t>
      </w:r>
      <w:r w:rsidRPr="00306CBA">
        <w:t xml:space="preserve"> </w:t>
      </w:r>
    </w:p>
    <w:p w14:paraId="744EA3DD" w14:textId="542F1427" w:rsidR="00A0420F" w:rsidRDefault="00A0420F" w:rsidP="00B1707D">
      <w:pPr>
        <w:pStyle w:val="ListParagraph"/>
        <w:numPr>
          <w:ilvl w:val="0"/>
          <w:numId w:val="10"/>
        </w:numPr>
        <w:spacing w:after="157" w:line="360" w:lineRule="auto"/>
        <w:jc w:val="both"/>
      </w:pPr>
      <w:r>
        <w:t>Inappropriate processing equipment</w:t>
      </w:r>
      <w:r w:rsidR="007023C9">
        <w:t>,</w:t>
      </w:r>
      <w:r>
        <w:t xml:space="preserve"> processes</w:t>
      </w:r>
      <w:r w:rsidR="007023C9">
        <w:t xml:space="preserve"> and </w:t>
      </w:r>
      <w:r w:rsidR="00761C32">
        <w:t>packaging</w:t>
      </w:r>
      <w:r>
        <w:t xml:space="preserve"> at the level of the local market</w:t>
      </w:r>
    </w:p>
    <w:p w14:paraId="03CD8A68" w14:textId="49C329C1" w:rsidR="00E1730E" w:rsidRDefault="00804E50" w:rsidP="00B1707D">
      <w:pPr>
        <w:pStyle w:val="ListParagraph"/>
        <w:numPr>
          <w:ilvl w:val="0"/>
          <w:numId w:val="10"/>
        </w:numPr>
        <w:spacing w:after="157" w:line="360" w:lineRule="auto"/>
        <w:jc w:val="both"/>
      </w:pPr>
      <w:r>
        <w:t xml:space="preserve">The use of raw materials whose aflatoxin contamination levels are not determined </w:t>
      </w:r>
    </w:p>
    <w:p w14:paraId="710AE369" w14:textId="0B050A79" w:rsidR="00804E50" w:rsidRDefault="00D5536B" w:rsidP="00B1707D">
      <w:pPr>
        <w:pStyle w:val="ListParagraph"/>
        <w:numPr>
          <w:ilvl w:val="0"/>
          <w:numId w:val="10"/>
        </w:numPr>
        <w:spacing w:after="157" w:line="360" w:lineRule="auto"/>
        <w:jc w:val="both"/>
      </w:pPr>
      <w:r>
        <w:t>Poor environmental and personal hygiene</w:t>
      </w:r>
      <w:r w:rsidR="003E378D">
        <w:t>, lack of sanitary facilities in the local market</w:t>
      </w:r>
      <w:r>
        <w:t xml:space="preserve"> </w:t>
      </w:r>
    </w:p>
    <w:p w14:paraId="78E892F7" w14:textId="754747E7" w:rsidR="00A0420F" w:rsidRDefault="00A0420F" w:rsidP="00B1707D">
      <w:pPr>
        <w:pStyle w:val="ListParagraph"/>
        <w:numPr>
          <w:ilvl w:val="0"/>
          <w:numId w:val="10"/>
        </w:numPr>
        <w:spacing w:after="157" w:line="360" w:lineRule="auto"/>
        <w:jc w:val="both"/>
      </w:pPr>
      <w:r>
        <w:t xml:space="preserve">At the seccos, the in-shell groundnuts are stored on the ground in the open    </w:t>
      </w:r>
    </w:p>
    <w:p w14:paraId="385D8193" w14:textId="7E00425C" w:rsidR="00D5536B" w:rsidRDefault="00D5536B" w:rsidP="00B1707D">
      <w:pPr>
        <w:pStyle w:val="ListParagraph"/>
        <w:numPr>
          <w:ilvl w:val="0"/>
          <w:numId w:val="10"/>
        </w:numPr>
        <w:spacing w:after="157" w:line="360" w:lineRule="auto"/>
        <w:jc w:val="both"/>
      </w:pPr>
      <w:r>
        <w:t>At the industrial level, poor storage facil</w:t>
      </w:r>
      <w:r w:rsidR="00A0420F">
        <w:t>ities, in-shell</w:t>
      </w:r>
      <w:r>
        <w:t xml:space="preserve"> groundnuts are directly heaped on the floor (un</w:t>
      </w:r>
      <w:r w:rsidR="003E378D">
        <w:t>-</w:t>
      </w:r>
      <w:r>
        <w:t>bagged)</w:t>
      </w:r>
    </w:p>
    <w:p w14:paraId="329EBD71" w14:textId="1A5AE7C5" w:rsidR="00D7744B" w:rsidRDefault="00D7744B" w:rsidP="00B1707D">
      <w:pPr>
        <w:pStyle w:val="ListParagraph"/>
        <w:numPr>
          <w:ilvl w:val="0"/>
          <w:numId w:val="10"/>
        </w:numPr>
        <w:spacing w:after="157" w:line="360" w:lineRule="auto"/>
        <w:jc w:val="both"/>
      </w:pPr>
      <w:r>
        <w:rPr>
          <w:rFonts w:eastAsia="Calibri"/>
        </w:rPr>
        <w:t>Lack of rapid test kits for aflatoxin and moisture determination</w:t>
      </w:r>
      <w:r w:rsidR="00ED70A3">
        <w:rPr>
          <w:rFonts w:eastAsia="Calibri"/>
        </w:rPr>
        <w:t xml:space="preserve"> in storage</w:t>
      </w:r>
    </w:p>
    <w:p w14:paraId="6F0FC3A1" w14:textId="0BBC494D" w:rsidR="000D326F" w:rsidRDefault="003E378D" w:rsidP="00C6206E">
      <w:pPr>
        <w:pStyle w:val="ListParagraph"/>
        <w:numPr>
          <w:ilvl w:val="0"/>
          <w:numId w:val="10"/>
        </w:numPr>
        <w:spacing w:after="157" w:line="360" w:lineRule="auto"/>
        <w:jc w:val="both"/>
      </w:pPr>
      <w:r>
        <w:t>Inappropriate storage facilities and practices at the local market level</w:t>
      </w:r>
    </w:p>
    <w:p w14:paraId="0AFDB528" w14:textId="656BFB3D" w:rsidR="007A49B1" w:rsidRDefault="007A49B1" w:rsidP="007A49B1">
      <w:pPr>
        <w:spacing w:after="157" w:line="360" w:lineRule="auto"/>
        <w:ind w:left="0" w:firstLine="0"/>
        <w:jc w:val="both"/>
      </w:pPr>
      <w:r>
        <w:t>Intervention options</w:t>
      </w:r>
      <w:r w:rsidR="004F3643">
        <w:t>:</w:t>
      </w:r>
    </w:p>
    <w:p w14:paraId="264066E1" w14:textId="3029FDD3" w:rsidR="007A49B1" w:rsidRDefault="007A49B1" w:rsidP="007A49B1">
      <w:pPr>
        <w:pStyle w:val="ListParagraph"/>
        <w:numPr>
          <w:ilvl w:val="0"/>
          <w:numId w:val="31"/>
        </w:numPr>
        <w:spacing w:after="157" w:line="360" w:lineRule="auto"/>
        <w:jc w:val="both"/>
      </w:pPr>
      <w:r>
        <w:t xml:space="preserve">Provide training on </w:t>
      </w:r>
      <w:r w:rsidR="00393DF5">
        <w:t>GMP</w:t>
      </w:r>
      <w:r>
        <w:t xml:space="preserve"> and GHP to the processors at the household and market levels.</w:t>
      </w:r>
    </w:p>
    <w:p w14:paraId="49EDAA0D" w14:textId="2E771AAD" w:rsidR="007A49B1" w:rsidRDefault="007A49B1" w:rsidP="007A49B1">
      <w:pPr>
        <w:pStyle w:val="ListParagraph"/>
        <w:numPr>
          <w:ilvl w:val="0"/>
          <w:numId w:val="31"/>
        </w:numPr>
        <w:spacing w:after="157" w:line="360" w:lineRule="auto"/>
        <w:jc w:val="both"/>
      </w:pPr>
      <w:r>
        <w:t xml:space="preserve">FSQA to inspect and ensure that GMPs and GHPs are followed at all levels of processing. </w:t>
      </w:r>
    </w:p>
    <w:p w14:paraId="721CC71C" w14:textId="03CE1747" w:rsidR="007A49B1" w:rsidRDefault="007A49B1" w:rsidP="007A49B1">
      <w:pPr>
        <w:pStyle w:val="ListParagraph"/>
        <w:numPr>
          <w:ilvl w:val="0"/>
          <w:numId w:val="31"/>
        </w:numPr>
        <w:spacing w:after="157" w:line="360" w:lineRule="auto"/>
        <w:jc w:val="both"/>
      </w:pPr>
      <w:r>
        <w:t>FSQA to ensure that all exporters implement HACCP.</w:t>
      </w:r>
    </w:p>
    <w:p w14:paraId="1EE727DA" w14:textId="51B73FAA" w:rsidR="007023C9" w:rsidRPr="0094607A" w:rsidRDefault="007023C9" w:rsidP="007023C9">
      <w:pPr>
        <w:spacing w:after="157" w:line="360" w:lineRule="auto"/>
        <w:ind w:left="0" w:firstLine="0"/>
        <w:jc w:val="both"/>
        <w:rPr>
          <w:b/>
        </w:rPr>
      </w:pPr>
      <w:r w:rsidRPr="0094607A">
        <w:rPr>
          <w:b/>
        </w:rPr>
        <w:t>Marketing</w:t>
      </w:r>
    </w:p>
    <w:p w14:paraId="312832B1" w14:textId="7A924619" w:rsidR="006703B0" w:rsidRDefault="00393DF5" w:rsidP="007023C9">
      <w:pPr>
        <w:spacing w:after="157" w:line="360" w:lineRule="auto"/>
        <w:ind w:left="0" w:firstLine="0"/>
        <w:jc w:val="both"/>
      </w:pPr>
      <w:r>
        <w:t>Identified g</w:t>
      </w:r>
      <w:r w:rsidR="006703B0">
        <w:t>aps</w:t>
      </w:r>
      <w:r w:rsidR="004F3643">
        <w:t>:</w:t>
      </w:r>
    </w:p>
    <w:p w14:paraId="4E4272A6" w14:textId="2103267E" w:rsidR="00B758B3" w:rsidRDefault="00B758B3" w:rsidP="009310A7">
      <w:pPr>
        <w:pStyle w:val="ListParagraph"/>
        <w:numPr>
          <w:ilvl w:val="0"/>
          <w:numId w:val="11"/>
        </w:numPr>
        <w:spacing w:after="157" w:line="360" w:lineRule="auto"/>
        <w:jc w:val="both"/>
      </w:pPr>
      <w:r>
        <w:t>Aflatoxin contamination levels are not considered in the marketing transactions of the three commodities.</w:t>
      </w:r>
    </w:p>
    <w:p w14:paraId="74F21538" w14:textId="55108081" w:rsidR="006360CD" w:rsidRDefault="00B758B3" w:rsidP="009310A7">
      <w:pPr>
        <w:pStyle w:val="ListParagraph"/>
        <w:numPr>
          <w:ilvl w:val="0"/>
          <w:numId w:val="11"/>
        </w:numPr>
        <w:spacing w:after="157" w:line="360" w:lineRule="auto"/>
        <w:jc w:val="both"/>
      </w:pPr>
      <w:r>
        <w:lastRenderedPageBreak/>
        <w:t xml:space="preserve">The </w:t>
      </w:r>
      <w:r w:rsidR="006360CD">
        <w:t>non-separation of extraneous materials from the groundnut produce sold to informal traders purchasing at farm level.</w:t>
      </w:r>
    </w:p>
    <w:p w14:paraId="7D238BE5" w14:textId="054AACD9" w:rsidR="006360CD" w:rsidRDefault="00E2251F" w:rsidP="009310A7">
      <w:pPr>
        <w:pStyle w:val="ListParagraph"/>
        <w:numPr>
          <w:ilvl w:val="0"/>
          <w:numId w:val="11"/>
        </w:numPr>
        <w:spacing w:after="157" w:line="360" w:lineRule="auto"/>
        <w:jc w:val="both"/>
      </w:pPr>
      <w:r>
        <w:t>Screens not properly calibrated and maintained at the level of the seccos.</w:t>
      </w:r>
    </w:p>
    <w:p w14:paraId="4BF9C5B6" w14:textId="77777777" w:rsidR="00E2251F" w:rsidRDefault="00E2251F" w:rsidP="00E2251F">
      <w:pPr>
        <w:pStyle w:val="ListParagraph"/>
        <w:numPr>
          <w:ilvl w:val="0"/>
          <w:numId w:val="11"/>
        </w:numPr>
        <w:spacing w:after="157" w:line="360" w:lineRule="auto"/>
        <w:jc w:val="both"/>
      </w:pPr>
      <w:r>
        <w:t>Non screening for aflatoxin contamination levels at all reception points of the marketing chain.</w:t>
      </w:r>
    </w:p>
    <w:p w14:paraId="4C3C9A56" w14:textId="34F04CB5" w:rsidR="00E2251F" w:rsidRDefault="00F11369" w:rsidP="001141FE">
      <w:pPr>
        <w:pStyle w:val="ListParagraph"/>
        <w:numPr>
          <w:ilvl w:val="0"/>
          <w:numId w:val="11"/>
        </w:numPr>
        <w:spacing w:after="157" w:line="360" w:lineRule="auto"/>
        <w:jc w:val="both"/>
      </w:pPr>
      <w:r>
        <w:t xml:space="preserve">Use of non-accredited laboratories </w:t>
      </w:r>
      <w:r w:rsidR="00FF5091">
        <w:t>t</w:t>
      </w:r>
      <w:r>
        <w:t>o</w:t>
      </w:r>
      <w:r w:rsidR="00FF5091">
        <w:t xml:space="preserve"> test</w:t>
      </w:r>
      <w:r w:rsidR="008363BC">
        <w:t xml:space="preserve"> </w:t>
      </w:r>
      <w:r>
        <w:t>for aflatoxin by all exporters.</w:t>
      </w:r>
    </w:p>
    <w:p w14:paraId="6A1A1543" w14:textId="74C1249C" w:rsidR="0044371E" w:rsidRDefault="0044371E" w:rsidP="001141FE">
      <w:pPr>
        <w:pStyle w:val="ListParagraph"/>
        <w:numPr>
          <w:ilvl w:val="0"/>
          <w:numId w:val="11"/>
        </w:numPr>
        <w:spacing w:after="157" w:line="360" w:lineRule="auto"/>
        <w:jc w:val="both"/>
      </w:pPr>
      <w:r>
        <w:t xml:space="preserve">Inability to export </w:t>
      </w:r>
      <w:r w:rsidR="00393DF5">
        <w:t>HPS confectionery</w:t>
      </w:r>
      <w:r w:rsidR="00ED71A0">
        <w:t xml:space="preserve"> groundnuts </w:t>
      </w:r>
      <w:r>
        <w:t xml:space="preserve">to obtain premium price </w:t>
      </w:r>
      <w:r w:rsidR="00774855">
        <w:t>due to inability to meet aflatoxin levels set by importing countries</w:t>
      </w:r>
    </w:p>
    <w:p w14:paraId="3F02403E" w14:textId="6256B424" w:rsidR="00B600BA" w:rsidRDefault="00B600BA" w:rsidP="006703B0">
      <w:pPr>
        <w:pStyle w:val="ListParagraph"/>
        <w:numPr>
          <w:ilvl w:val="0"/>
          <w:numId w:val="11"/>
        </w:numPr>
        <w:spacing w:after="157" w:line="360" w:lineRule="auto"/>
        <w:jc w:val="both"/>
      </w:pPr>
      <w:r>
        <w:t>There is no consumer demand for products based on levels of aflatoxin contamination</w:t>
      </w:r>
    </w:p>
    <w:p w14:paraId="64ABF227" w14:textId="58981F59" w:rsidR="006703B0" w:rsidRDefault="006703B0" w:rsidP="006703B0">
      <w:pPr>
        <w:spacing w:after="157" w:line="360" w:lineRule="auto"/>
        <w:ind w:left="0" w:firstLine="0"/>
        <w:jc w:val="both"/>
      </w:pPr>
      <w:r>
        <w:t>Intervention options</w:t>
      </w:r>
      <w:r w:rsidR="004F3643">
        <w:t>:</w:t>
      </w:r>
    </w:p>
    <w:p w14:paraId="02C5916D" w14:textId="3920C42A" w:rsidR="006703B0" w:rsidRDefault="006703B0" w:rsidP="006703B0">
      <w:pPr>
        <w:pStyle w:val="ListParagraph"/>
        <w:numPr>
          <w:ilvl w:val="0"/>
          <w:numId w:val="32"/>
        </w:numPr>
        <w:spacing w:after="157" w:line="360" w:lineRule="auto"/>
        <w:jc w:val="both"/>
      </w:pPr>
      <w:r>
        <w:t>FSQA to regulate the local markets</w:t>
      </w:r>
      <w:r w:rsidR="00EC52CB">
        <w:t xml:space="preserve"> in particular, s</w:t>
      </w:r>
      <w:r>
        <w:t>andika</w:t>
      </w:r>
      <w:r w:rsidR="00EC52CB">
        <w:t>s, loumos</w:t>
      </w:r>
      <w:r>
        <w:t xml:space="preserve"> </w:t>
      </w:r>
      <w:r w:rsidR="00EC52CB">
        <w:t xml:space="preserve">and </w:t>
      </w:r>
      <w:r>
        <w:t>municipal markets.</w:t>
      </w:r>
    </w:p>
    <w:p w14:paraId="2BC23A1F" w14:textId="36FDCB6A" w:rsidR="00BA42F8" w:rsidRDefault="00BA42F8" w:rsidP="006703B0">
      <w:pPr>
        <w:pStyle w:val="ListParagraph"/>
        <w:numPr>
          <w:ilvl w:val="0"/>
          <w:numId w:val="32"/>
        </w:numPr>
        <w:spacing w:after="157" w:line="360" w:lineRule="auto"/>
        <w:jc w:val="both"/>
      </w:pPr>
      <w:r>
        <w:t xml:space="preserve">FSQA to regulate groundnut exports and </w:t>
      </w:r>
      <w:r w:rsidR="00EC52CB">
        <w:t xml:space="preserve">groundnut, </w:t>
      </w:r>
      <w:r>
        <w:t>rice and maize imports</w:t>
      </w:r>
      <w:r w:rsidR="009C2482">
        <w:t>.</w:t>
      </w:r>
      <w:r>
        <w:t xml:space="preserve"> </w:t>
      </w:r>
    </w:p>
    <w:p w14:paraId="2772CA92" w14:textId="26F7CDF8" w:rsidR="006703B0" w:rsidRDefault="006703B0" w:rsidP="006703B0">
      <w:pPr>
        <w:pStyle w:val="ListParagraph"/>
        <w:numPr>
          <w:ilvl w:val="0"/>
          <w:numId w:val="32"/>
        </w:numPr>
        <w:spacing w:after="157" w:line="360" w:lineRule="auto"/>
        <w:jc w:val="both"/>
      </w:pPr>
      <w:r>
        <w:t xml:space="preserve">FSQA to approve laboratories to be used for testing for official controls, including aflatoxins.  </w:t>
      </w:r>
    </w:p>
    <w:p w14:paraId="36404F8E" w14:textId="77777777" w:rsidR="007710B3" w:rsidRDefault="007710B3" w:rsidP="00525703">
      <w:pPr>
        <w:pStyle w:val="Heading1"/>
      </w:pPr>
      <w:bookmarkStart w:id="43" w:name="_Toc427672779"/>
    </w:p>
    <w:p w14:paraId="03972008" w14:textId="53C2CAFE" w:rsidR="00F53E1D" w:rsidRDefault="00F57F75" w:rsidP="00525703">
      <w:pPr>
        <w:pStyle w:val="Heading1"/>
      </w:pPr>
      <w:r>
        <w:t>1</w:t>
      </w:r>
      <w:r w:rsidR="00A2765D">
        <w:t>0</w:t>
      </w:r>
      <w:r>
        <w:t>.0</w:t>
      </w:r>
      <w:r w:rsidR="001141FE" w:rsidRPr="00F57F75">
        <w:t xml:space="preserve"> </w:t>
      </w:r>
      <w:r w:rsidR="00742A29" w:rsidRPr="00F57F75">
        <w:t xml:space="preserve">Policy, </w:t>
      </w:r>
      <w:r w:rsidR="00525703">
        <w:t>legal</w:t>
      </w:r>
      <w:r w:rsidR="00742A29" w:rsidRPr="00F57F75">
        <w:t xml:space="preserve"> and institutional</w:t>
      </w:r>
      <w:r w:rsidR="001141FE" w:rsidRPr="00F57F75">
        <w:t xml:space="preserve"> e</w:t>
      </w:r>
      <w:r w:rsidR="00F53E1D" w:rsidRPr="00F57F75">
        <w:t>nvironment as it pertains to aflatoxins</w:t>
      </w:r>
      <w:bookmarkEnd w:id="43"/>
      <w:r w:rsidR="00F53E1D" w:rsidRPr="00F57F75">
        <w:t xml:space="preserve"> </w:t>
      </w:r>
    </w:p>
    <w:p w14:paraId="66EC1BA7" w14:textId="77777777" w:rsidR="00F57F75" w:rsidRPr="00F57F75" w:rsidRDefault="00F57F75" w:rsidP="00F57F75"/>
    <w:p w14:paraId="1079E673" w14:textId="22FF26D9" w:rsidR="004479FD" w:rsidRDefault="00A2765D" w:rsidP="00A2765D">
      <w:pPr>
        <w:pStyle w:val="Heading2"/>
      </w:pPr>
      <w:bookmarkStart w:id="44" w:name="_Toc427672780"/>
      <w:r>
        <w:t>10</w:t>
      </w:r>
      <w:r w:rsidR="004479FD" w:rsidRPr="00F57F75">
        <w:t xml:space="preserve">.1 Agriculture and Natural Resources Policy </w:t>
      </w:r>
      <w:r w:rsidR="00EC52CB">
        <w:t xml:space="preserve">– ANR </w:t>
      </w:r>
      <w:r w:rsidR="004479FD" w:rsidRPr="00F57F75">
        <w:t>(2009-2015)</w:t>
      </w:r>
      <w:bookmarkEnd w:id="44"/>
    </w:p>
    <w:p w14:paraId="7CF36DE0" w14:textId="77777777" w:rsidR="00F57F75" w:rsidRPr="00F57F75" w:rsidRDefault="00F57F75" w:rsidP="00F57F75"/>
    <w:p w14:paraId="398EC0D6" w14:textId="397CEF08" w:rsidR="00F32EAB" w:rsidRDefault="005D6892" w:rsidP="00962C7C">
      <w:pPr>
        <w:pStyle w:val="Heading1"/>
        <w:tabs>
          <w:tab w:val="left" w:pos="720"/>
        </w:tabs>
        <w:spacing w:line="360" w:lineRule="auto"/>
        <w:ind w:left="0" w:firstLine="0"/>
        <w:jc w:val="both"/>
        <w:rPr>
          <w:rFonts w:ascii="Times New Roman" w:hAnsi="Times New Roman" w:cs="Times New Roman"/>
          <w:b w:val="0"/>
          <w:sz w:val="22"/>
        </w:rPr>
      </w:pPr>
      <w:bookmarkStart w:id="45" w:name="_Toc29145226"/>
      <w:bookmarkStart w:id="46" w:name="_Toc29145056"/>
      <w:bookmarkStart w:id="47" w:name="_Toc419830339"/>
      <w:bookmarkStart w:id="48" w:name="_Toc419912387"/>
      <w:bookmarkStart w:id="49" w:name="_Toc423614278"/>
      <w:bookmarkStart w:id="50" w:name="_Toc427672781"/>
      <w:r w:rsidRPr="005F1E6D">
        <w:rPr>
          <w:rFonts w:ascii="Times New Roman" w:hAnsi="Times New Roman" w:cs="Times New Roman"/>
          <w:b w:val="0"/>
          <w:bCs/>
          <w:iCs/>
          <w:sz w:val="22"/>
        </w:rPr>
        <w:t>The key strategic objectives for the ANR Policy</w:t>
      </w:r>
      <w:bookmarkEnd w:id="45"/>
      <w:bookmarkEnd w:id="46"/>
      <w:r w:rsidRPr="005F1E6D">
        <w:rPr>
          <w:rFonts w:ascii="Times New Roman" w:hAnsi="Times New Roman" w:cs="Times New Roman"/>
          <w:b w:val="0"/>
          <w:bCs/>
          <w:iCs/>
          <w:sz w:val="22"/>
        </w:rPr>
        <w:t xml:space="preserve"> are i</w:t>
      </w:r>
      <w:r w:rsidRPr="005F1E6D">
        <w:rPr>
          <w:rFonts w:ascii="Times New Roman" w:hAnsi="Times New Roman" w:cs="Times New Roman"/>
          <w:b w:val="0"/>
          <w:sz w:val="22"/>
        </w:rPr>
        <w:t xml:space="preserve">mproved and sustainable measurable levels of food and nutrition security in the country in general and vulnerable populations in particular; </w:t>
      </w:r>
      <w:bookmarkStart w:id="51" w:name="OLE_LINK2"/>
      <w:bookmarkStart w:id="52" w:name="OLE_LINK1"/>
      <w:r w:rsidRPr="005F1E6D">
        <w:rPr>
          <w:rFonts w:ascii="Times New Roman" w:hAnsi="Times New Roman" w:cs="Times New Roman"/>
          <w:b w:val="0"/>
          <w:sz w:val="22"/>
        </w:rPr>
        <w:t xml:space="preserve">a commercialized sector ensuring measurable </w:t>
      </w:r>
      <w:r w:rsidRPr="005F1E6D">
        <w:rPr>
          <w:rFonts w:ascii="Times New Roman" w:hAnsi="Times New Roman" w:cs="Times New Roman"/>
          <w:b w:val="0"/>
          <w:bCs/>
          <w:sz w:val="22"/>
        </w:rPr>
        <w:t xml:space="preserve">competitive, efficient, and sustainable food and agricultural value chains, and linkages to markets; </w:t>
      </w:r>
      <w:bookmarkEnd w:id="51"/>
      <w:bookmarkEnd w:id="52"/>
      <w:r w:rsidRPr="005F1E6D">
        <w:rPr>
          <w:rFonts w:ascii="Times New Roman" w:hAnsi="Times New Roman" w:cs="Times New Roman"/>
          <w:b w:val="0"/>
          <w:bCs/>
          <w:sz w:val="22"/>
        </w:rPr>
        <w:t>i</w:t>
      </w:r>
      <w:r w:rsidRPr="005F1E6D">
        <w:rPr>
          <w:rFonts w:ascii="Times New Roman" w:hAnsi="Times New Roman" w:cs="Times New Roman"/>
          <w:b w:val="0"/>
          <w:sz w:val="22"/>
        </w:rPr>
        <w:t>nstitutions (public and private) in the sector are strengthened, and providing needed services, strong and enabling environment, and reducing vulnerability in food and nutrition security; and sustainable effective management of the natural resource base of the sector.</w:t>
      </w:r>
      <w:bookmarkEnd w:id="47"/>
      <w:bookmarkEnd w:id="48"/>
      <w:bookmarkEnd w:id="49"/>
      <w:bookmarkEnd w:id="50"/>
    </w:p>
    <w:p w14:paraId="08EAE43F" w14:textId="77777777" w:rsidR="00962C7C" w:rsidRPr="00962C7C" w:rsidRDefault="00962C7C" w:rsidP="00962C7C">
      <w:pPr>
        <w:spacing w:after="0"/>
      </w:pPr>
    </w:p>
    <w:p w14:paraId="0C4908BC" w14:textId="77777777" w:rsidR="00F9617C" w:rsidRDefault="005D6892" w:rsidP="005D6892">
      <w:pPr>
        <w:spacing w:line="360" w:lineRule="auto"/>
        <w:jc w:val="both"/>
      </w:pPr>
      <w:r w:rsidRPr="005F1E6D">
        <w:t>The policy focuses on</w:t>
      </w:r>
      <w:r w:rsidR="00887A2D">
        <w:t>,</w:t>
      </w:r>
      <w:r w:rsidRPr="005F1E6D">
        <w:t xml:space="preserve"> among other things, increasing rice production in order </w:t>
      </w:r>
      <w:r w:rsidR="00887A2D">
        <w:t xml:space="preserve">for the country </w:t>
      </w:r>
      <w:r w:rsidRPr="005F1E6D">
        <w:t xml:space="preserve">to be self-sufficient and implementing special programmes to increase maize production. The policy recognises the role of groundnuts as both food and cash crop and the primary source of livelihood and foreign exchange earnings of the country. </w:t>
      </w:r>
    </w:p>
    <w:p w14:paraId="11E6E932" w14:textId="63A291EC" w:rsidR="005D6892" w:rsidRPr="005F1E6D" w:rsidRDefault="00F9617C" w:rsidP="005D6892">
      <w:pPr>
        <w:spacing w:line="360" w:lineRule="auto"/>
        <w:jc w:val="both"/>
      </w:pPr>
      <w:r>
        <w:t>The policy has addressed food safety and quality in its strategies. However, a</w:t>
      </w:r>
      <w:r w:rsidR="005D6892" w:rsidRPr="005F1E6D">
        <w:t>flatoxin contamination is not identified as one of the critical constraints affecting groundnuts</w:t>
      </w:r>
      <w:r>
        <w:t>, maize and rice</w:t>
      </w:r>
      <w:r w:rsidR="002A6509">
        <w:t xml:space="preserve"> and there is no strategy for the promotion of GAP to mitigate aflatoxin</w:t>
      </w:r>
      <w:r w:rsidR="005D6892" w:rsidRPr="005F1E6D">
        <w:t>.</w:t>
      </w:r>
      <w:r>
        <w:t xml:space="preserve"> The policy also recommends for a review of the legal and </w:t>
      </w:r>
      <w:r>
        <w:lastRenderedPageBreak/>
        <w:t xml:space="preserve">regulatory framework for food safety. This recommendation has been overtaken by events as this review was carried out in 2010-2011 leading to the enactment of the Food Safety and Quality Act 2011 </w:t>
      </w:r>
      <w:r w:rsidR="000B41F7">
        <w:t>w</w:t>
      </w:r>
      <w:r>
        <w:t xml:space="preserve">hich </w:t>
      </w:r>
      <w:r w:rsidR="000B41F7">
        <w:t xml:space="preserve">established the FSQA that </w:t>
      </w:r>
      <w:r>
        <w:t>became operational in 2013.</w:t>
      </w:r>
      <w:r w:rsidR="000B41F7">
        <w:t xml:space="preserve"> The strategies proposed by the policy are now been addressed in draft Food Safety Policy and the ongoing programmes of the FSQA. </w:t>
      </w:r>
    </w:p>
    <w:p w14:paraId="1D38589A" w14:textId="367EBF83" w:rsidR="004479FD" w:rsidRPr="00F57F75" w:rsidRDefault="00A2765D" w:rsidP="00A2765D">
      <w:pPr>
        <w:pStyle w:val="Heading2"/>
      </w:pPr>
      <w:bookmarkStart w:id="53" w:name="_Toc427672782"/>
      <w:r>
        <w:t>10</w:t>
      </w:r>
      <w:r w:rsidR="004479FD" w:rsidRPr="00F57F75">
        <w:t>.2 National Health Policy</w:t>
      </w:r>
      <w:r w:rsidR="00A14B46">
        <w:t xml:space="preserve"> (2012-2020)</w:t>
      </w:r>
      <w:bookmarkEnd w:id="53"/>
    </w:p>
    <w:p w14:paraId="1932B159" w14:textId="77777777" w:rsidR="00DE7A49" w:rsidRDefault="00DE7A49" w:rsidP="00DB2912">
      <w:pPr>
        <w:spacing w:after="0" w:line="360" w:lineRule="auto"/>
        <w:ind w:left="0" w:firstLine="0"/>
        <w:jc w:val="both"/>
        <w:rPr>
          <w:rFonts w:eastAsia="Book Antiqua"/>
        </w:rPr>
      </w:pPr>
    </w:p>
    <w:p w14:paraId="3DD9A879" w14:textId="1C272D9C" w:rsidR="004D7389" w:rsidRPr="004D7389" w:rsidRDefault="005D6892" w:rsidP="003D76B7">
      <w:pPr>
        <w:spacing w:after="0" w:line="360" w:lineRule="auto"/>
        <w:ind w:left="-6" w:hanging="11"/>
        <w:jc w:val="both"/>
      </w:pPr>
      <w:r w:rsidRPr="00184072">
        <w:rPr>
          <w:rFonts w:eastAsia="Book Antiqua"/>
        </w:rPr>
        <w:t xml:space="preserve">The </w:t>
      </w:r>
      <w:r w:rsidR="00184072">
        <w:rPr>
          <w:rFonts w:eastAsia="Book Antiqua"/>
        </w:rPr>
        <w:t xml:space="preserve">goal of the </w:t>
      </w:r>
      <w:r w:rsidRPr="00184072">
        <w:rPr>
          <w:rFonts w:eastAsia="Book Antiqua"/>
        </w:rPr>
        <w:t>National Health Policy Framework</w:t>
      </w:r>
      <w:r w:rsidR="00184072">
        <w:rPr>
          <w:rFonts w:eastAsia="Book Antiqua"/>
        </w:rPr>
        <w:t xml:space="preserve"> </w:t>
      </w:r>
      <w:r w:rsidR="00184072" w:rsidRPr="00184072">
        <w:rPr>
          <w:rFonts w:eastAsia="Book Antiqua"/>
        </w:rPr>
        <w:t xml:space="preserve">is to reduce morbidity and mortality to contribute significantly to quality of life in the population.  </w:t>
      </w:r>
      <w:r w:rsidR="00184072" w:rsidRPr="00184072">
        <w:t>Strategies/programmes based on Integrated Disease Surveillance and Response (IDSR) have been put in place to control diseases</w:t>
      </w:r>
      <w:r w:rsidR="00B611FD">
        <w:t xml:space="preserve">. The policy acknowledges that cancers </w:t>
      </w:r>
      <w:r w:rsidR="00B611FD" w:rsidRPr="00184072">
        <w:t>continue to pose major public health challenge</w:t>
      </w:r>
      <w:r w:rsidR="00A14B46">
        <w:t>s</w:t>
      </w:r>
      <w:r w:rsidR="00DE7A49">
        <w:t xml:space="preserve"> and a</w:t>
      </w:r>
      <w:r w:rsidR="00B611FD" w:rsidRPr="00B611FD">
        <w:t>dequate measures are being taken to alert those responsible for the prevention, diagnosis, treatme</w:t>
      </w:r>
      <w:r w:rsidR="00B611FD">
        <w:t>nt including the management of cancers.</w:t>
      </w:r>
      <w:r w:rsidR="00A14B46">
        <w:t xml:space="preserve"> </w:t>
      </w:r>
      <w:r w:rsidR="00DE7A49">
        <w:t xml:space="preserve">However, there are no epidemiological surveillance programmes for cancer and hepatitis B. Intervention options include the integration of cancer and hepatitis B in the </w:t>
      </w:r>
      <w:r w:rsidR="00DE7A49" w:rsidRPr="00184072">
        <w:t>IDSR</w:t>
      </w:r>
      <w:r w:rsidR="00DE7A49">
        <w:t xml:space="preserve"> programme.</w:t>
      </w:r>
      <w:r w:rsidR="004D7389">
        <w:t xml:space="preserve">  </w:t>
      </w:r>
      <w:r w:rsidR="004D7389" w:rsidRPr="004D7389">
        <w:t>It is recommended that a national screening, v</w:t>
      </w:r>
      <w:r w:rsidR="004D7389" w:rsidRPr="003D76B7">
        <w:rPr>
          <w:color w:val="auto"/>
        </w:rPr>
        <w:t>accination</w:t>
      </w:r>
      <w:r w:rsidR="003D76B7" w:rsidRPr="003D76B7">
        <w:rPr>
          <w:color w:val="auto"/>
        </w:rPr>
        <w:t xml:space="preserve"> and</w:t>
      </w:r>
      <w:r w:rsidR="004D7389" w:rsidRPr="003D76B7">
        <w:rPr>
          <w:color w:val="auto"/>
        </w:rPr>
        <w:t xml:space="preserve"> treatment programme for hepatitis B be developed and implemented.</w:t>
      </w:r>
      <w:r w:rsidR="003D76B7" w:rsidRPr="003D76B7">
        <w:rPr>
          <w:color w:val="auto"/>
        </w:rPr>
        <w:t xml:space="preserve"> In addition, it is recommended that the National Cancer Registry (NRC) be improved to include age, gender and occupation.</w:t>
      </w:r>
    </w:p>
    <w:p w14:paraId="48CA6F16" w14:textId="2F7F3324" w:rsidR="00DE7A49" w:rsidRPr="00B611FD" w:rsidRDefault="00DE7A49" w:rsidP="00B611FD">
      <w:pPr>
        <w:spacing w:after="157" w:line="360" w:lineRule="auto"/>
        <w:ind w:left="0" w:firstLine="0"/>
        <w:jc w:val="both"/>
      </w:pPr>
    </w:p>
    <w:p w14:paraId="7AFDC4C1" w14:textId="7FD164E3" w:rsidR="004479FD" w:rsidRDefault="00A2765D" w:rsidP="00A2765D">
      <w:pPr>
        <w:pStyle w:val="Heading2"/>
      </w:pPr>
      <w:bookmarkStart w:id="54" w:name="_Toc427672783"/>
      <w:r>
        <w:t>10</w:t>
      </w:r>
      <w:r w:rsidR="004479FD" w:rsidRPr="00F57F75">
        <w:t xml:space="preserve">.3 </w:t>
      </w:r>
      <w:r w:rsidR="008064CA">
        <w:t xml:space="preserve">The Gambia </w:t>
      </w:r>
      <w:r w:rsidR="004479FD" w:rsidRPr="00F57F75">
        <w:t>Trade Policy</w:t>
      </w:r>
      <w:r w:rsidR="008064CA">
        <w:t xml:space="preserve"> 2011</w:t>
      </w:r>
      <w:bookmarkEnd w:id="54"/>
    </w:p>
    <w:p w14:paraId="6A01A67B" w14:textId="77777777" w:rsidR="00D2195E" w:rsidRDefault="00D2195E" w:rsidP="00D2195E"/>
    <w:p w14:paraId="3F938CF3" w14:textId="217FD7C4" w:rsidR="00DE7A49" w:rsidRPr="009A1D8A" w:rsidRDefault="008064CA" w:rsidP="00BC2273">
      <w:pPr>
        <w:spacing w:line="360" w:lineRule="auto"/>
        <w:ind w:left="-6" w:hanging="11"/>
        <w:jc w:val="both"/>
        <w:rPr>
          <w:b/>
        </w:rPr>
      </w:pPr>
      <w:r w:rsidRPr="008064CA">
        <w:t xml:space="preserve">The objective of the policy is to maintain an open and liberal trading environment and to better integrate The Gambia into the global economy. It also aims at providing direction for trade activities as well as to ensure trade mainstreaming in the productive sectors to make its contribution to the attainment of national goals of growth, development, and poverty reduction.  </w:t>
      </w:r>
      <w:r w:rsidR="00D2195E" w:rsidRPr="00D2195E">
        <w:t>It also aims at providing direction for trade activities as well as to ensure trade mainstreaming in the productive sectors to make its contribution to the attainment of national goals of growth, devel</w:t>
      </w:r>
      <w:r>
        <w:t>opment, and poverty reduction. The policy focuses on measures to: improve the competitiveness of The Gambia trading environment; support production activities for the domestic and international markets; establish and strengthen quality infrastructure for enhanced market access; ensure a fair trading environment for producers and consumers; establish an efficient trade information system; and strengthen bilateral, regional and multilateral trade corporation.   With regard to trade in food and feed</w:t>
      </w:r>
      <w:r w:rsidR="00DB1164">
        <w:t>,</w:t>
      </w:r>
      <w:r>
        <w:t xml:space="preserve"> </w:t>
      </w:r>
      <w:r w:rsidR="00DB1164">
        <w:t xml:space="preserve">the policy </w:t>
      </w:r>
      <w:r>
        <w:t xml:space="preserve">makes no mention </w:t>
      </w:r>
      <w:r w:rsidR="00DB1164">
        <w:t xml:space="preserve">of </w:t>
      </w:r>
      <w:r>
        <w:t xml:space="preserve">The Gambia’s obligations under WTO SPS agreement, in particular </w:t>
      </w:r>
      <w:r w:rsidR="00DB1164">
        <w:t xml:space="preserve">as they relate to trade in food. The policy should make mention The Gambia’s obligation under the WTO SPS agreement relating to trade in food. </w:t>
      </w:r>
      <w:r>
        <w:t xml:space="preserve"> </w:t>
      </w:r>
    </w:p>
    <w:p w14:paraId="17400155" w14:textId="0492A3EC" w:rsidR="00F57F75" w:rsidRDefault="00F57F75" w:rsidP="00A2765D">
      <w:pPr>
        <w:pStyle w:val="Heading2"/>
      </w:pPr>
      <w:bookmarkStart w:id="55" w:name="_Toc427672784"/>
      <w:r w:rsidRPr="00F57F75">
        <w:lastRenderedPageBreak/>
        <w:t>1</w:t>
      </w:r>
      <w:r w:rsidR="00A2765D">
        <w:t>0</w:t>
      </w:r>
      <w:r w:rsidR="004479FD" w:rsidRPr="00F57F75">
        <w:t>.4</w:t>
      </w:r>
      <w:r w:rsidR="00742A29" w:rsidRPr="00F57F75">
        <w:t xml:space="preserve"> </w:t>
      </w:r>
      <w:r w:rsidR="004479FD" w:rsidRPr="00F57F75">
        <w:t>Draft Food Safety Policy</w:t>
      </w:r>
      <w:bookmarkEnd w:id="55"/>
    </w:p>
    <w:p w14:paraId="39350DFA" w14:textId="77777777" w:rsidR="00091C9A" w:rsidRPr="00091C9A" w:rsidRDefault="00091C9A" w:rsidP="00091C9A">
      <w:pPr>
        <w:spacing w:after="0"/>
      </w:pPr>
    </w:p>
    <w:p w14:paraId="4F0C0952" w14:textId="57C74FA3" w:rsidR="00742A29" w:rsidRDefault="003B1D43" w:rsidP="00742A29">
      <w:pPr>
        <w:spacing w:after="157" w:line="360" w:lineRule="auto"/>
        <w:ind w:left="0" w:firstLine="0"/>
        <w:jc w:val="both"/>
        <w:rPr>
          <w:color w:val="auto"/>
        </w:rPr>
      </w:pPr>
      <w:r>
        <w:t>The</w:t>
      </w:r>
      <w:r w:rsidR="00427280">
        <w:t>re is an existing d</w:t>
      </w:r>
      <w:r w:rsidR="00742A29">
        <w:t xml:space="preserve">raft </w:t>
      </w:r>
      <w:r w:rsidR="00427280">
        <w:t>f</w:t>
      </w:r>
      <w:r w:rsidR="00742A29">
        <w:t xml:space="preserve">ood </w:t>
      </w:r>
      <w:r w:rsidR="00427280">
        <w:t>s</w:t>
      </w:r>
      <w:r w:rsidR="00742A29">
        <w:t xml:space="preserve">afety </w:t>
      </w:r>
      <w:r w:rsidR="00427280">
        <w:t>p</w:t>
      </w:r>
      <w:r w:rsidR="00742A29">
        <w:t>olicy</w:t>
      </w:r>
      <w:r>
        <w:t xml:space="preserve"> </w:t>
      </w:r>
      <w:r w:rsidR="00427280">
        <w:t xml:space="preserve">document </w:t>
      </w:r>
      <w:r>
        <w:t xml:space="preserve">which is </w:t>
      </w:r>
      <w:r w:rsidR="00427280">
        <w:t xml:space="preserve">coherent with the Food Safety and Quality Act. The general objective of the draft policy is that the food which is produced, bought and eaten by consumers do not prejudice their health or economic wellbeing.   </w:t>
      </w:r>
      <w:r w:rsidR="00501EDC">
        <w:t>The scope of the policy extends to animal feeds.</w:t>
      </w:r>
      <w:r w:rsidR="00501EDC" w:rsidRPr="00AB34F2">
        <w:rPr>
          <w:color w:val="FF0000"/>
        </w:rPr>
        <w:t xml:space="preserve"> </w:t>
      </w:r>
      <w:r w:rsidR="00501EDC" w:rsidRPr="00DB1164">
        <w:rPr>
          <w:color w:val="auto"/>
        </w:rPr>
        <w:t>It also covers</w:t>
      </w:r>
      <w:r w:rsidR="00A033DC" w:rsidRPr="00DB1164">
        <w:rPr>
          <w:color w:val="auto"/>
        </w:rPr>
        <w:t xml:space="preserve"> contaminants, including aflatoxin, and</w:t>
      </w:r>
      <w:r w:rsidR="00501EDC" w:rsidRPr="00DB1164">
        <w:rPr>
          <w:color w:val="auto"/>
        </w:rPr>
        <w:t xml:space="preserve"> the residues of veterinary medicines and plant protection products.   </w:t>
      </w:r>
      <w:r w:rsidR="00DE0F81">
        <w:rPr>
          <w:color w:val="auto"/>
        </w:rPr>
        <w:t>It is recommended that the policy be finalised.</w:t>
      </w:r>
    </w:p>
    <w:p w14:paraId="5BACB918" w14:textId="6031119A" w:rsidR="00F63558" w:rsidRDefault="00A2765D" w:rsidP="005960B9">
      <w:pPr>
        <w:pStyle w:val="Heading2"/>
      </w:pPr>
      <w:bookmarkStart w:id="56" w:name="_Toc427672785"/>
      <w:r>
        <w:t>10</w:t>
      </w:r>
      <w:r w:rsidR="00FD772F">
        <w:t xml:space="preserve">.5 </w:t>
      </w:r>
      <w:r w:rsidR="00F63558" w:rsidRPr="00F63558">
        <w:t>The Gambia National Agricultural Investment P</w:t>
      </w:r>
      <w:r w:rsidR="005960B9">
        <w:t xml:space="preserve">lan </w:t>
      </w:r>
      <w:r w:rsidR="00F63558" w:rsidRPr="00F63558">
        <w:t>(GNAIP)</w:t>
      </w:r>
      <w:r w:rsidR="007908CF">
        <w:t xml:space="preserve"> 2011-2015</w:t>
      </w:r>
      <w:bookmarkEnd w:id="56"/>
    </w:p>
    <w:p w14:paraId="5C5AEE0B" w14:textId="77777777" w:rsidR="005030CB" w:rsidRDefault="005030CB" w:rsidP="005030CB">
      <w:pPr>
        <w:spacing w:after="0" w:line="360" w:lineRule="auto"/>
        <w:ind w:left="0" w:firstLine="0"/>
        <w:jc w:val="both"/>
        <w:rPr>
          <w:sz w:val="24"/>
          <w:szCs w:val="24"/>
        </w:rPr>
      </w:pPr>
    </w:p>
    <w:p w14:paraId="1BA34F59" w14:textId="088AA12E" w:rsidR="005030CB" w:rsidRDefault="005030CB" w:rsidP="005030CB">
      <w:pPr>
        <w:spacing w:line="360" w:lineRule="auto"/>
        <w:ind w:left="0" w:firstLine="0"/>
        <w:jc w:val="both"/>
        <w:rPr>
          <w:sz w:val="24"/>
          <w:szCs w:val="24"/>
        </w:rPr>
      </w:pPr>
      <w:r w:rsidRPr="005030CB">
        <w:rPr>
          <w:sz w:val="24"/>
          <w:szCs w:val="24"/>
        </w:rPr>
        <w:t xml:space="preserve">The </w:t>
      </w:r>
      <w:r w:rsidR="00DE0F81">
        <w:rPr>
          <w:sz w:val="24"/>
          <w:szCs w:val="24"/>
        </w:rPr>
        <w:t>o</w:t>
      </w:r>
      <w:r w:rsidRPr="005030CB">
        <w:rPr>
          <w:sz w:val="24"/>
          <w:szCs w:val="24"/>
        </w:rPr>
        <w:t xml:space="preserve">verall </w:t>
      </w:r>
      <w:r w:rsidR="00DE0F81">
        <w:rPr>
          <w:sz w:val="24"/>
          <w:szCs w:val="24"/>
        </w:rPr>
        <w:t>g</w:t>
      </w:r>
      <w:r w:rsidRPr="005030CB">
        <w:rPr>
          <w:sz w:val="24"/>
          <w:szCs w:val="24"/>
        </w:rPr>
        <w:t xml:space="preserve">oal of GNAIP is enhanced economic growth and poverty reduction by an increased contribution of the ANR sector to the national economy. To meet this goal, the </w:t>
      </w:r>
      <w:r w:rsidR="00DE0F81">
        <w:rPr>
          <w:sz w:val="24"/>
          <w:szCs w:val="24"/>
        </w:rPr>
        <w:t>development o</w:t>
      </w:r>
      <w:r w:rsidRPr="005030CB">
        <w:rPr>
          <w:sz w:val="24"/>
          <w:szCs w:val="24"/>
        </w:rPr>
        <w:t xml:space="preserve">bjective of GNAIP is increased food and nutritional security and household </w:t>
      </w:r>
      <w:r w:rsidRPr="00462681">
        <w:rPr>
          <w:sz w:val="24"/>
          <w:szCs w:val="24"/>
        </w:rPr>
        <w:t xml:space="preserve">incomes, particularly for vulnerable households. This will be achieved through increased production and productivity in the ANR sector, based on sustainable management of natural resources, commercialization and active private/sector participation. The GNAIP has six pillars which provided the basis for the six programmes of the Investment Plan: (i) Development of agricultural chains and market promotion; (ii) Improvement of water management; (iii) Prevention and management of food crises and other natural disasters; (iv) Improved management of the other shared resources (common properties); (v) Sustainable farm development; and (vi) Institutional capacity building for the implementation of the GNAIP. </w:t>
      </w:r>
    </w:p>
    <w:p w14:paraId="6327C80C" w14:textId="2A7BA154" w:rsidR="005030CB" w:rsidRDefault="005030CB" w:rsidP="005030CB">
      <w:pPr>
        <w:spacing w:line="360" w:lineRule="auto"/>
        <w:ind w:left="0" w:firstLine="0"/>
        <w:jc w:val="both"/>
        <w:rPr>
          <w:color w:val="auto"/>
        </w:rPr>
      </w:pPr>
      <w:r w:rsidRPr="00113A8B">
        <w:rPr>
          <w:color w:val="auto"/>
          <w:sz w:val="24"/>
          <w:szCs w:val="24"/>
        </w:rPr>
        <w:t xml:space="preserve">Food safety issues were </w:t>
      </w:r>
      <w:r w:rsidR="007908CF">
        <w:rPr>
          <w:color w:val="auto"/>
          <w:sz w:val="24"/>
          <w:szCs w:val="24"/>
        </w:rPr>
        <w:t>mentioned</w:t>
      </w:r>
      <w:r w:rsidRPr="00113A8B">
        <w:rPr>
          <w:color w:val="auto"/>
          <w:sz w:val="24"/>
          <w:szCs w:val="24"/>
        </w:rPr>
        <w:t xml:space="preserve"> in</w:t>
      </w:r>
      <w:r w:rsidR="007908CF">
        <w:rPr>
          <w:color w:val="auto"/>
          <w:sz w:val="24"/>
          <w:szCs w:val="24"/>
        </w:rPr>
        <w:t xml:space="preserve"> </w:t>
      </w:r>
      <w:r w:rsidRPr="00113A8B">
        <w:rPr>
          <w:color w:val="auto"/>
          <w:sz w:val="24"/>
          <w:szCs w:val="24"/>
        </w:rPr>
        <w:t>P</w:t>
      </w:r>
      <w:r>
        <w:rPr>
          <w:color w:val="auto"/>
          <w:sz w:val="24"/>
          <w:szCs w:val="24"/>
        </w:rPr>
        <w:t>rogramme 3 which is</w:t>
      </w:r>
      <w:r w:rsidRPr="00113A8B">
        <w:rPr>
          <w:color w:val="auto"/>
        </w:rPr>
        <w:t xml:space="preserve"> expected to boost value-chain stakeholders’ access to markets by improving market analysis and responses so that products meet national, regional and international demand and safety norms. </w:t>
      </w:r>
      <w:r w:rsidR="007908CF">
        <w:rPr>
          <w:color w:val="auto"/>
        </w:rPr>
        <w:t>However, there was no mention of aflatoxin.</w:t>
      </w:r>
    </w:p>
    <w:p w14:paraId="7F66E309" w14:textId="37611739" w:rsidR="00906439" w:rsidRDefault="005030CB" w:rsidP="005030CB">
      <w:pPr>
        <w:spacing w:line="360" w:lineRule="auto"/>
        <w:ind w:left="0" w:firstLine="0"/>
        <w:jc w:val="both"/>
      </w:pPr>
      <w:r>
        <w:t xml:space="preserve">Programme 5 is aimed at achieving increased and sustained agricultural production and productivity growth by introducing agricultural practices through people-centred learning processes that enhance and conserve local natural resources and the environment, and help smallholder farmers to adapt to climate change. The establishment of </w:t>
      </w:r>
      <w:r w:rsidRPr="00322F46">
        <w:t>Farmer Field Schools (FFS)</w:t>
      </w:r>
      <w:r>
        <w:t xml:space="preserve"> (Sub-component 1 of Component 1 of Programme 5), </w:t>
      </w:r>
      <w:r w:rsidRPr="00322F46">
        <w:t>is expected to</w:t>
      </w:r>
      <w:r>
        <w:rPr>
          <w:i/>
        </w:rPr>
        <w:t xml:space="preserve"> </w:t>
      </w:r>
      <w:r>
        <w:t xml:space="preserve">enhance smallholder farm productivity on a sustainable basis through the use of productivity enhancing technologies such as fertilizer, improved seeds and IPPM through the private sector.  The field research conducted by the consultants showed that the farmer learning processes </w:t>
      </w:r>
      <w:r>
        <w:lastRenderedPageBreak/>
        <w:t xml:space="preserve">(including the FFS) </w:t>
      </w:r>
      <w:r w:rsidR="00906439">
        <w:t>employed</w:t>
      </w:r>
      <w:r>
        <w:t xml:space="preserve"> by the public extension services </w:t>
      </w:r>
      <w:r w:rsidR="00906439">
        <w:t>was not used to</w:t>
      </w:r>
      <w:r>
        <w:t xml:space="preserve"> address food safety and quality issues, including aflatoxin. </w:t>
      </w:r>
    </w:p>
    <w:p w14:paraId="77F95B09" w14:textId="598693B9" w:rsidR="00FD772F" w:rsidRPr="00DB1164" w:rsidRDefault="00906439" w:rsidP="007908CF">
      <w:pPr>
        <w:spacing w:line="360" w:lineRule="auto"/>
        <w:ind w:left="0" w:firstLine="0"/>
        <w:jc w:val="both"/>
        <w:rPr>
          <w:color w:val="auto"/>
        </w:rPr>
      </w:pPr>
      <w:r>
        <w:t xml:space="preserve">The aflatoxin problem of groundnuts was a topical issue at the time GNAIP was being formulated coinciding with the </w:t>
      </w:r>
      <w:r w:rsidR="00BA6D17">
        <w:t>validation</w:t>
      </w:r>
      <w:r>
        <w:t xml:space="preserve"> of the Groundnut Quality Assurance </w:t>
      </w:r>
      <w:r w:rsidR="00BA6D17">
        <w:t xml:space="preserve">Framework </w:t>
      </w:r>
      <w:r>
        <w:t xml:space="preserve">Document and this presented an opportunity for aflatoxin to have been mainstreamed in the GNAIP. </w:t>
      </w:r>
      <w:r w:rsidR="00C0539F">
        <w:t>It is recommended that during the review of GNAIP, broader food safety and quality issues, including aflatoxin</w:t>
      </w:r>
      <w:r w:rsidR="00502726">
        <w:t xml:space="preserve"> in groundnut, maize and rice</w:t>
      </w:r>
      <w:r w:rsidR="00C0539F">
        <w:t xml:space="preserve">, be mainstreamed. </w:t>
      </w:r>
    </w:p>
    <w:p w14:paraId="32568AFE" w14:textId="403E7C61" w:rsidR="000050C0" w:rsidRDefault="000050C0" w:rsidP="004E6A0A">
      <w:pPr>
        <w:pStyle w:val="Heading2"/>
      </w:pPr>
      <w:bookmarkStart w:id="57" w:name="_Toc427672786"/>
      <w:r w:rsidRPr="000050C0">
        <w:t>1</w:t>
      </w:r>
      <w:r w:rsidR="00A2765D">
        <w:t>0</w:t>
      </w:r>
      <w:r w:rsidR="00742A29" w:rsidRPr="000050C0">
        <w:t>.</w:t>
      </w:r>
      <w:r w:rsidR="00FD772F">
        <w:t>6</w:t>
      </w:r>
      <w:r w:rsidR="00742A29" w:rsidRPr="000050C0">
        <w:t xml:space="preserve"> </w:t>
      </w:r>
      <w:r w:rsidR="0016610C" w:rsidRPr="000050C0">
        <w:t>Act and regulations</w:t>
      </w:r>
      <w:bookmarkEnd w:id="57"/>
    </w:p>
    <w:p w14:paraId="403F80A8" w14:textId="77777777" w:rsidR="004E6A0A" w:rsidRPr="004E6A0A" w:rsidRDefault="004E6A0A" w:rsidP="004E6A0A">
      <w:pPr>
        <w:spacing w:after="0"/>
      </w:pPr>
    </w:p>
    <w:p w14:paraId="33E9DE1F" w14:textId="05E3A6B8" w:rsidR="00742A29" w:rsidRDefault="0016610C" w:rsidP="000D326F">
      <w:pPr>
        <w:spacing w:after="157" w:line="360" w:lineRule="auto"/>
        <w:ind w:left="0" w:firstLine="0"/>
        <w:jc w:val="both"/>
      </w:pPr>
      <w:r>
        <w:t xml:space="preserve">The </w:t>
      </w:r>
      <w:r w:rsidR="00AB34F2">
        <w:t>Food Safety and Q</w:t>
      </w:r>
      <w:r w:rsidR="007241A3">
        <w:t>uality</w:t>
      </w:r>
      <w:r w:rsidR="00AB34F2">
        <w:t xml:space="preserve"> </w:t>
      </w:r>
      <w:r w:rsidR="00742A29">
        <w:t>Act</w:t>
      </w:r>
      <w:r w:rsidR="00AB34F2">
        <w:t xml:space="preserve"> 2011</w:t>
      </w:r>
      <w:r w:rsidR="00AB34F2">
        <w:rPr>
          <w:color w:val="auto"/>
        </w:rPr>
        <w:t xml:space="preserve"> establishes the </w:t>
      </w:r>
      <w:r w:rsidR="007241A3">
        <w:rPr>
          <w:color w:val="auto"/>
        </w:rPr>
        <w:t>food safety and quality regime along the food and feed chain by instituting structures and control mechanisms to ensure the safety and quality of food and feed. It embraces the food safety risk analysis approach</w:t>
      </w:r>
      <w:r w:rsidR="00966E60">
        <w:rPr>
          <w:color w:val="auto"/>
        </w:rPr>
        <w:t xml:space="preserve"> which ensures that all food safety risks are taken into account, including aflatoxin.</w:t>
      </w:r>
      <w:r w:rsidR="001F05E3">
        <w:rPr>
          <w:color w:val="auto"/>
        </w:rPr>
        <w:t xml:space="preserve"> </w:t>
      </w:r>
    </w:p>
    <w:p w14:paraId="097F839D" w14:textId="0F9ACBF6" w:rsidR="0016610C" w:rsidRDefault="00C910BD" w:rsidP="000D326F">
      <w:pPr>
        <w:spacing w:after="157" w:line="360" w:lineRule="auto"/>
        <w:ind w:left="0" w:firstLine="0"/>
        <w:jc w:val="both"/>
      </w:pPr>
      <w:r>
        <w:t>Identified g</w:t>
      </w:r>
      <w:r w:rsidR="0016610C">
        <w:t>ap: There are no regulations to-date for aflatoxin limits for the three commodities</w:t>
      </w:r>
    </w:p>
    <w:p w14:paraId="69A75422" w14:textId="53538819" w:rsidR="0016610C" w:rsidRDefault="0016610C" w:rsidP="000D326F">
      <w:pPr>
        <w:spacing w:after="157" w:line="360" w:lineRule="auto"/>
        <w:ind w:left="0" w:firstLine="0"/>
        <w:jc w:val="both"/>
      </w:pPr>
      <w:r>
        <w:t xml:space="preserve">Intervention options: </w:t>
      </w:r>
    </w:p>
    <w:p w14:paraId="46990890" w14:textId="10F7567B" w:rsidR="0016610C" w:rsidRDefault="003D41BE" w:rsidP="0016610C">
      <w:pPr>
        <w:pStyle w:val="ListParagraph"/>
        <w:numPr>
          <w:ilvl w:val="0"/>
          <w:numId w:val="14"/>
        </w:numPr>
        <w:spacing w:after="157" w:line="360" w:lineRule="auto"/>
        <w:jc w:val="both"/>
      </w:pPr>
      <w:r>
        <w:t>Develop regulations to facilitate the implementation of the Act.</w:t>
      </w:r>
    </w:p>
    <w:p w14:paraId="360280E4" w14:textId="1AB4EAEC" w:rsidR="00742A29" w:rsidRDefault="000050C0" w:rsidP="00A2765D">
      <w:pPr>
        <w:pStyle w:val="Heading2"/>
      </w:pPr>
      <w:bookmarkStart w:id="58" w:name="_Toc427672787"/>
      <w:r w:rsidRPr="000050C0">
        <w:t>1</w:t>
      </w:r>
      <w:r w:rsidR="00A2765D">
        <w:t>0</w:t>
      </w:r>
      <w:r w:rsidR="00742A29" w:rsidRPr="000050C0">
        <w:t>.</w:t>
      </w:r>
      <w:r w:rsidR="00FD772F">
        <w:t>7</w:t>
      </w:r>
      <w:r w:rsidR="00742A29" w:rsidRPr="000050C0">
        <w:t xml:space="preserve"> Institution –</w:t>
      </w:r>
      <w:r w:rsidR="000D326F" w:rsidRPr="000050C0">
        <w:t xml:space="preserve"> </w:t>
      </w:r>
      <w:r w:rsidR="00742A29" w:rsidRPr="000050C0">
        <w:t>F</w:t>
      </w:r>
      <w:r w:rsidR="00AB34F2" w:rsidRPr="000050C0">
        <w:t>ood</w:t>
      </w:r>
      <w:r w:rsidR="007241A3" w:rsidRPr="000050C0">
        <w:t xml:space="preserve"> </w:t>
      </w:r>
      <w:r w:rsidR="00742A29" w:rsidRPr="000050C0">
        <w:t>S</w:t>
      </w:r>
      <w:r w:rsidR="007241A3" w:rsidRPr="000050C0">
        <w:t xml:space="preserve">afety and </w:t>
      </w:r>
      <w:r w:rsidR="00742A29" w:rsidRPr="000050C0">
        <w:t>Q</w:t>
      </w:r>
      <w:r w:rsidR="007241A3" w:rsidRPr="000050C0">
        <w:t xml:space="preserve">uality </w:t>
      </w:r>
      <w:r w:rsidR="00742A29" w:rsidRPr="000050C0">
        <w:t>A</w:t>
      </w:r>
      <w:r w:rsidR="007241A3" w:rsidRPr="000050C0">
        <w:t>uthority</w:t>
      </w:r>
      <w:r w:rsidR="00E46BEC" w:rsidRPr="000050C0">
        <w:t xml:space="preserve"> (FSQA)</w:t>
      </w:r>
      <w:bookmarkEnd w:id="58"/>
    </w:p>
    <w:p w14:paraId="75D8C184" w14:textId="77777777" w:rsidR="000050C0" w:rsidRPr="000050C0" w:rsidRDefault="000050C0" w:rsidP="004E6A0A">
      <w:pPr>
        <w:spacing w:after="0"/>
      </w:pPr>
    </w:p>
    <w:p w14:paraId="7E723BEC" w14:textId="77777777" w:rsidR="00B93DAB" w:rsidRDefault="00B93DAB" w:rsidP="00E4082F">
      <w:pPr>
        <w:spacing w:line="360" w:lineRule="auto"/>
      </w:pPr>
      <w:r w:rsidRPr="00FD25A4">
        <w:t>The organs of the Authority are</w:t>
      </w:r>
      <w:r>
        <w:t>:</w:t>
      </w:r>
    </w:p>
    <w:p w14:paraId="169C20BA" w14:textId="40CDA5DE" w:rsidR="00A607CF" w:rsidRDefault="00B93DAB" w:rsidP="00FC475B">
      <w:pPr>
        <w:pStyle w:val="ListParagraph"/>
        <w:numPr>
          <w:ilvl w:val="0"/>
          <w:numId w:val="25"/>
        </w:numPr>
        <w:spacing w:line="360" w:lineRule="auto"/>
        <w:jc w:val="both"/>
      </w:pPr>
      <w:r>
        <w:t xml:space="preserve">The </w:t>
      </w:r>
      <w:r w:rsidRPr="00FD25A4">
        <w:t>Board of Directors</w:t>
      </w:r>
      <w:r>
        <w:t xml:space="preserve"> responsible for the overall policy and strategy of the Authority with particular regard to financial, operational, organisational, and administrative programmes and to ensure the implementation of the policy. </w:t>
      </w:r>
      <w:r w:rsidR="00826532">
        <w:t>The Board should ensure that work programmes of the Authority are consistent with government’s legislative and policy priorities in the area of food safety. It</w:t>
      </w:r>
      <w:r>
        <w:t xml:space="preserve"> commissi</w:t>
      </w:r>
      <w:r w:rsidR="00826532">
        <w:t>ons and approves</w:t>
      </w:r>
      <w:r>
        <w:t xml:space="preserve"> </w:t>
      </w:r>
      <w:r w:rsidR="00826532">
        <w:t xml:space="preserve">food safety risk assessments, including </w:t>
      </w:r>
      <w:r>
        <w:t>aflatoxin</w:t>
      </w:r>
      <w:r w:rsidR="00826532">
        <w:t xml:space="preserve">. </w:t>
      </w:r>
    </w:p>
    <w:p w14:paraId="1F4093ED" w14:textId="339EBC63" w:rsidR="00526216" w:rsidRDefault="00C910BD" w:rsidP="00526216">
      <w:pPr>
        <w:spacing w:line="360" w:lineRule="auto"/>
        <w:ind w:left="0" w:firstLine="0"/>
        <w:jc w:val="both"/>
        <w:rPr>
          <w:b/>
        </w:rPr>
      </w:pPr>
      <w:r>
        <w:rPr>
          <w:b/>
        </w:rPr>
        <w:t>Identified g</w:t>
      </w:r>
      <w:r w:rsidR="00526216" w:rsidRPr="009A1D8A">
        <w:rPr>
          <w:b/>
        </w:rPr>
        <w:t>aps:</w:t>
      </w:r>
    </w:p>
    <w:p w14:paraId="5B1428D9" w14:textId="7B81C60A" w:rsidR="00A86702" w:rsidRDefault="00A86702" w:rsidP="00A86702">
      <w:pPr>
        <w:jc w:val="both"/>
      </w:pPr>
      <w:r>
        <w:t xml:space="preserve">To date no </w:t>
      </w:r>
      <w:r w:rsidR="00B23DB4">
        <w:t xml:space="preserve">food safety </w:t>
      </w:r>
      <w:r>
        <w:t>risk assessment</w:t>
      </w:r>
      <w:r w:rsidR="00B23DB4">
        <w:t xml:space="preserve"> study/project focusing on aflatoxins</w:t>
      </w:r>
      <w:r>
        <w:t xml:space="preserve"> has been commissioned.</w:t>
      </w:r>
    </w:p>
    <w:p w14:paraId="65895B58" w14:textId="106E3038" w:rsidR="00411DC2" w:rsidRDefault="00526216" w:rsidP="004962A6">
      <w:pPr>
        <w:spacing w:line="360" w:lineRule="auto"/>
        <w:ind w:left="0" w:firstLine="0"/>
        <w:jc w:val="both"/>
      </w:pPr>
      <w:r w:rsidRPr="009A1D8A">
        <w:rPr>
          <w:b/>
        </w:rPr>
        <w:t>Intervention options:</w:t>
      </w:r>
    </w:p>
    <w:p w14:paraId="77237589" w14:textId="77777777" w:rsidR="00A86702" w:rsidRDefault="00742A29" w:rsidP="00E46BEC">
      <w:pPr>
        <w:pStyle w:val="ListParagraph"/>
        <w:numPr>
          <w:ilvl w:val="0"/>
          <w:numId w:val="25"/>
        </w:numPr>
        <w:spacing w:line="360" w:lineRule="auto"/>
        <w:jc w:val="both"/>
      </w:pPr>
      <w:r>
        <w:t xml:space="preserve">The Food Safety </w:t>
      </w:r>
      <w:r w:rsidR="007241A3">
        <w:t xml:space="preserve">and Quality </w:t>
      </w:r>
      <w:r>
        <w:t xml:space="preserve">Authority responsible for surveillance of food and feed safety </w:t>
      </w:r>
      <w:r w:rsidR="00571840">
        <w:t>hazards</w:t>
      </w:r>
      <w:r>
        <w:t>,</w:t>
      </w:r>
      <w:r w:rsidR="00571840">
        <w:t xml:space="preserve"> including aflatoxin;</w:t>
      </w:r>
      <w:r>
        <w:t xml:space="preserve"> preliminary risk assessment (risk profiling)</w:t>
      </w:r>
      <w:r w:rsidR="00571840">
        <w:t>;</w:t>
      </w:r>
      <w:r>
        <w:t xml:space="preserve"> monitoring and control of </w:t>
      </w:r>
      <w:r w:rsidR="00571840">
        <w:t xml:space="preserve">food safety risks, including </w:t>
      </w:r>
      <w:r>
        <w:t>aflatoxin</w:t>
      </w:r>
      <w:r w:rsidR="00571840">
        <w:t xml:space="preserve"> </w:t>
      </w:r>
      <w:r>
        <w:t>contamination along the food and feed chain</w:t>
      </w:r>
      <w:r w:rsidR="00571840">
        <w:t>;</w:t>
      </w:r>
      <w:r>
        <w:t xml:space="preserve"> develop</w:t>
      </w:r>
      <w:r w:rsidR="00571840">
        <w:t>ing</w:t>
      </w:r>
      <w:r>
        <w:t xml:space="preserve"> and maintain</w:t>
      </w:r>
      <w:r w:rsidR="00571840">
        <w:t xml:space="preserve">ing a </w:t>
      </w:r>
    </w:p>
    <w:p w14:paraId="167B3A08" w14:textId="5466B6EA" w:rsidR="00742A29" w:rsidRDefault="00571840" w:rsidP="00A86702">
      <w:pPr>
        <w:pStyle w:val="ListParagraph"/>
        <w:spacing w:line="360" w:lineRule="auto"/>
        <w:ind w:left="345" w:firstLine="0"/>
        <w:jc w:val="both"/>
      </w:pPr>
      <w:r>
        <w:lastRenderedPageBreak/>
        <w:t>food safety information</w:t>
      </w:r>
      <w:r w:rsidR="001F05E3">
        <w:t xml:space="preserve"> system, including </w:t>
      </w:r>
      <w:r w:rsidR="00742A29">
        <w:t>aflatoxin</w:t>
      </w:r>
      <w:r w:rsidR="001F05E3">
        <w:t xml:space="preserve"> </w:t>
      </w:r>
      <w:r w:rsidR="00742A29">
        <w:t xml:space="preserve">and </w:t>
      </w:r>
      <w:r w:rsidR="001F05E3">
        <w:t xml:space="preserve">scientific evidence based </w:t>
      </w:r>
      <w:r w:rsidR="00742A29">
        <w:t>risk communication</w:t>
      </w:r>
      <w:r w:rsidR="001F05E3">
        <w:t xml:space="preserve">; the development of a general plan for </w:t>
      </w:r>
      <w:r w:rsidR="00A607CF">
        <w:t xml:space="preserve">food safety </w:t>
      </w:r>
      <w:r w:rsidR="001F05E3">
        <w:t xml:space="preserve">crisis </w:t>
      </w:r>
      <w:r w:rsidR="00A607CF">
        <w:t xml:space="preserve">and emergency </w:t>
      </w:r>
      <w:r w:rsidR="001F05E3">
        <w:t>management</w:t>
      </w:r>
      <w:r w:rsidR="003C4830">
        <w:t xml:space="preserve">; and resource mobilization. </w:t>
      </w:r>
      <w:r w:rsidR="00742A29">
        <w:t xml:space="preserve"> </w:t>
      </w:r>
    </w:p>
    <w:p w14:paraId="72B4FA64" w14:textId="4FE5798F" w:rsidR="00C9194C" w:rsidRDefault="00C910BD" w:rsidP="00C9194C">
      <w:pPr>
        <w:spacing w:line="360" w:lineRule="auto"/>
        <w:ind w:left="0" w:firstLine="0"/>
        <w:jc w:val="both"/>
        <w:rPr>
          <w:b/>
        </w:rPr>
      </w:pPr>
      <w:r>
        <w:rPr>
          <w:b/>
        </w:rPr>
        <w:t>Identified g</w:t>
      </w:r>
      <w:r w:rsidR="00C9194C" w:rsidRPr="009A1D8A">
        <w:rPr>
          <w:b/>
        </w:rPr>
        <w:t>aps:</w:t>
      </w:r>
    </w:p>
    <w:p w14:paraId="66A61E51" w14:textId="788F7A71" w:rsidR="00197E05" w:rsidRDefault="003320C4" w:rsidP="00E46BEC">
      <w:pPr>
        <w:pStyle w:val="ListParagraph"/>
        <w:numPr>
          <w:ilvl w:val="0"/>
          <w:numId w:val="26"/>
        </w:numPr>
        <w:spacing w:line="360" w:lineRule="auto"/>
        <w:jc w:val="both"/>
      </w:pPr>
      <w:r w:rsidRPr="003320C4">
        <w:t xml:space="preserve">Generally, there is insufficient numbers of qualified and experienced staff to </w:t>
      </w:r>
      <w:r w:rsidR="003C4830">
        <w:t>implement its</w:t>
      </w:r>
      <w:r>
        <w:t xml:space="preserve"> mandate</w:t>
      </w:r>
      <w:r w:rsidR="003C4830">
        <w:t>.</w:t>
      </w:r>
    </w:p>
    <w:p w14:paraId="29463FCE" w14:textId="54C49E69" w:rsidR="00FC4D20" w:rsidRDefault="00FC4D20" w:rsidP="00E46BEC">
      <w:pPr>
        <w:pStyle w:val="ListParagraph"/>
        <w:numPr>
          <w:ilvl w:val="0"/>
          <w:numId w:val="26"/>
        </w:numPr>
        <w:spacing w:line="360" w:lineRule="auto"/>
        <w:jc w:val="both"/>
      </w:pPr>
      <w:r>
        <w:t xml:space="preserve">Non-existence of </w:t>
      </w:r>
      <w:r w:rsidR="007E5812">
        <w:t xml:space="preserve">programmes and systems for </w:t>
      </w:r>
      <w:r>
        <w:t xml:space="preserve">food safety hazards </w:t>
      </w:r>
      <w:r w:rsidR="003C4830">
        <w:t xml:space="preserve">(including aflatoxin) </w:t>
      </w:r>
      <w:r>
        <w:t>surveillance, monitoring, food recall, emergency planning</w:t>
      </w:r>
      <w:r w:rsidR="007E5812">
        <w:t xml:space="preserve">, </w:t>
      </w:r>
      <w:r>
        <w:t>disaster management</w:t>
      </w:r>
      <w:r w:rsidR="007E5812">
        <w:t>, and risk profiling framework</w:t>
      </w:r>
      <w:r>
        <w:t>.</w:t>
      </w:r>
      <w:r w:rsidR="00EF385C">
        <w:t xml:space="preserve"> </w:t>
      </w:r>
    </w:p>
    <w:p w14:paraId="4A995127" w14:textId="67E4B33E" w:rsidR="00EF385C" w:rsidRDefault="00EF385C" w:rsidP="00E46BEC">
      <w:pPr>
        <w:pStyle w:val="ListParagraph"/>
        <w:numPr>
          <w:ilvl w:val="0"/>
          <w:numId w:val="26"/>
        </w:numPr>
        <w:spacing w:line="360" w:lineRule="auto"/>
        <w:jc w:val="both"/>
      </w:pPr>
      <w:r>
        <w:t>Lack of prevalence data along the value chain.</w:t>
      </w:r>
    </w:p>
    <w:p w14:paraId="52EBB0E9" w14:textId="15FDF47E" w:rsidR="008273D7" w:rsidRDefault="008273D7" w:rsidP="00E46BEC">
      <w:pPr>
        <w:pStyle w:val="ListParagraph"/>
        <w:numPr>
          <w:ilvl w:val="0"/>
          <w:numId w:val="26"/>
        </w:numPr>
        <w:spacing w:line="360" w:lineRule="auto"/>
        <w:jc w:val="both"/>
      </w:pPr>
      <w:r>
        <w:t>No regulations in place to facilitate the implementation of the Act.</w:t>
      </w:r>
    </w:p>
    <w:p w14:paraId="3E4B56EA" w14:textId="25360090" w:rsidR="007E5812" w:rsidRDefault="00C623D5" w:rsidP="00E46BEC">
      <w:pPr>
        <w:pStyle w:val="ListParagraph"/>
        <w:numPr>
          <w:ilvl w:val="0"/>
          <w:numId w:val="26"/>
        </w:numPr>
        <w:spacing w:line="360" w:lineRule="auto"/>
        <w:jc w:val="both"/>
      </w:pPr>
      <w:r>
        <w:t xml:space="preserve">Lack of approved protocols and procedures for </w:t>
      </w:r>
      <w:r w:rsidR="00884EAF">
        <w:t xml:space="preserve">the organization, operations and activities of the Authority. </w:t>
      </w:r>
      <w:r>
        <w:t xml:space="preserve"> </w:t>
      </w:r>
      <w:r w:rsidR="007E5812">
        <w:t xml:space="preserve">  </w:t>
      </w:r>
    </w:p>
    <w:p w14:paraId="6E72A253" w14:textId="67F54842" w:rsidR="003320C4" w:rsidRDefault="007254E8" w:rsidP="00E46BEC">
      <w:pPr>
        <w:pStyle w:val="ListParagraph"/>
        <w:numPr>
          <w:ilvl w:val="0"/>
          <w:numId w:val="26"/>
        </w:numPr>
        <w:spacing w:line="360" w:lineRule="auto"/>
        <w:jc w:val="both"/>
      </w:pPr>
      <w:r>
        <w:t xml:space="preserve">Non collection of fees from licences and the issue of certificates. </w:t>
      </w:r>
      <w:r w:rsidR="00FC4D20">
        <w:t xml:space="preserve"> </w:t>
      </w:r>
    </w:p>
    <w:p w14:paraId="47E204FC" w14:textId="4B385D7D" w:rsidR="007254E8" w:rsidRDefault="007254E8" w:rsidP="00E46BEC">
      <w:pPr>
        <w:pStyle w:val="ListParagraph"/>
        <w:numPr>
          <w:ilvl w:val="0"/>
          <w:numId w:val="26"/>
        </w:numPr>
        <w:spacing w:line="360" w:lineRule="auto"/>
        <w:jc w:val="both"/>
      </w:pPr>
      <w:r>
        <w:t>Lack of a strategic and business plan.</w:t>
      </w:r>
    </w:p>
    <w:p w14:paraId="69945D5C" w14:textId="768120A9" w:rsidR="0069383D" w:rsidRPr="003320C4" w:rsidRDefault="0069383D" w:rsidP="00E46BEC">
      <w:pPr>
        <w:pStyle w:val="ListParagraph"/>
        <w:numPr>
          <w:ilvl w:val="0"/>
          <w:numId w:val="26"/>
        </w:numPr>
        <w:spacing w:line="360" w:lineRule="auto"/>
        <w:jc w:val="both"/>
      </w:pPr>
      <w:r>
        <w:rPr>
          <w:color w:val="auto"/>
        </w:rPr>
        <w:t>Lack of food safety information network.</w:t>
      </w:r>
    </w:p>
    <w:p w14:paraId="23F6B55C" w14:textId="77777777" w:rsidR="00C9194C" w:rsidRPr="009A1D8A" w:rsidRDefault="00C9194C" w:rsidP="00C9194C">
      <w:pPr>
        <w:spacing w:line="360" w:lineRule="auto"/>
        <w:jc w:val="both"/>
        <w:rPr>
          <w:b/>
        </w:rPr>
      </w:pPr>
      <w:r w:rsidRPr="009A1D8A">
        <w:rPr>
          <w:b/>
        </w:rPr>
        <w:t>Intervention options:</w:t>
      </w:r>
    </w:p>
    <w:p w14:paraId="3D4878F4" w14:textId="77777777" w:rsidR="007254E8" w:rsidRDefault="007254E8" w:rsidP="00197E05">
      <w:pPr>
        <w:pStyle w:val="ListParagraph"/>
        <w:numPr>
          <w:ilvl w:val="0"/>
          <w:numId w:val="18"/>
        </w:numPr>
        <w:spacing w:line="360" w:lineRule="auto"/>
        <w:jc w:val="both"/>
      </w:pPr>
      <w:r>
        <w:t>Recruit qualified and experienced staff; provide continuous training as needed.</w:t>
      </w:r>
    </w:p>
    <w:p w14:paraId="52BDB30D" w14:textId="05EA2E82" w:rsidR="007254E8" w:rsidRDefault="007254E8" w:rsidP="00197E05">
      <w:pPr>
        <w:pStyle w:val="ListParagraph"/>
        <w:numPr>
          <w:ilvl w:val="0"/>
          <w:numId w:val="18"/>
        </w:numPr>
        <w:spacing w:line="360" w:lineRule="auto"/>
        <w:jc w:val="both"/>
      </w:pPr>
      <w:r>
        <w:t>Develop</w:t>
      </w:r>
      <w:r w:rsidR="00DE6687">
        <w:t xml:space="preserve"> systems, procedures, protocol and programmes to address the gaps identified above in relation to food safety hazards. </w:t>
      </w:r>
    </w:p>
    <w:p w14:paraId="106910C5" w14:textId="67FD0516" w:rsidR="00EF385C" w:rsidRDefault="00D07CB0" w:rsidP="00EF385C">
      <w:pPr>
        <w:pStyle w:val="ListParagraph"/>
        <w:numPr>
          <w:ilvl w:val="0"/>
          <w:numId w:val="18"/>
        </w:numPr>
        <w:spacing w:line="360" w:lineRule="auto"/>
        <w:jc w:val="both"/>
      </w:pPr>
      <w:r>
        <w:t>Establish</w:t>
      </w:r>
      <w:r w:rsidR="00EF385C">
        <w:t xml:space="preserve"> </w:t>
      </w:r>
      <w:r>
        <w:t xml:space="preserve">baseline aflatoxin prevalence levels </w:t>
      </w:r>
      <w:r w:rsidR="00EF385C">
        <w:t xml:space="preserve">along the </w:t>
      </w:r>
      <w:r>
        <w:t xml:space="preserve">groundnut, maize and rice </w:t>
      </w:r>
      <w:r w:rsidR="00EF385C">
        <w:t>value chain</w:t>
      </w:r>
      <w:r>
        <w:t>s</w:t>
      </w:r>
      <w:r w:rsidR="00EF385C">
        <w:t>.</w:t>
      </w:r>
    </w:p>
    <w:p w14:paraId="489BA661" w14:textId="2C2DB811" w:rsidR="008273D7" w:rsidRDefault="008273D7" w:rsidP="00197E05">
      <w:pPr>
        <w:pStyle w:val="ListParagraph"/>
        <w:numPr>
          <w:ilvl w:val="0"/>
          <w:numId w:val="18"/>
        </w:numPr>
        <w:spacing w:line="360" w:lineRule="auto"/>
        <w:jc w:val="both"/>
      </w:pPr>
      <w:r>
        <w:t>Develop regulations for food safety and quality, including maximum limits for aflatoxins.</w:t>
      </w:r>
    </w:p>
    <w:p w14:paraId="0B9FBB26" w14:textId="03AB03CE" w:rsidR="007254E8" w:rsidRDefault="007254E8" w:rsidP="00197E05">
      <w:pPr>
        <w:pStyle w:val="ListParagraph"/>
        <w:numPr>
          <w:ilvl w:val="0"/>
          <w:numId w:val="18"/>
        </w:numPr>
        <w:spacing w:line="360" w:lineRule="auto"/>
        <w:jc w:val="both"/>
      </w:pPr>
      <w:r>
        <w:t>Mobilize resources from licence fees and the issue of certificates.</w:t>
      </w:r>
    </w:p>
    <w:p w14:paraId="632BC383" w14:textId="2A981C2D" w:rsidR="007254E8" w:rsidRDefault="007254E8" w:rsidP="00197E05">
      <w:pPr>
        <w:pStyle w:val="ListParagraph"/>
        <w:numPr>
          <w:ilvl w:val="0"/>
          <w:numId w:val="18"/>
        </w:numPr>
        <w:spacing w:line="360" w:lineRule="auto"/>
        <w:jc w:val="both"/>
      </w:pPr>
      <w:r>
        <w:t xml:space="preserve">Develop and implement a strategic and business plan. </w:t>
      </w:r>
    </w:p>
    <w:p w14:paraId="07D10CE0" w14:textId="15224DF8" w:rsidR="0069383D" w:rsidRPr="003320C4" w:rsidRDefault="0069383D" w:rsidP="0069383D">
      <w:pPr>
        <w:pStyle w:val="ListParagraph"/>
        <w:numPr>
          <w:ilvl w:val="0"/>
          <w:numId w:val="18"/>
        </w:numPr>
        <w:spacing w:line="360" w:lineRule="auto"/>
        <w:jc w:val="both"/>
      </w:pPr>
      <w:r>
        <w:rPr>
          <w:color w:val="auto"/>
        </w:rPr>
        <w:t>Establish a national food safety information network</w:t>
      </w:r>
      <w:r w:rsidR="00496096">
        <w:rPr>
          <w:color w:val="auto"/>
        </w:rPr>
        <w:t xml:space="preserve"> and incorporate the AfricaAIMS within it. </w:t>
      </w:r>
    </w:p>
    <w:p w14:paraId="70FB3997" w14:textId="77777777" w:rsidR="008273D7" w:rsidRDefault="008273D7" w:rsidP="008273D7">
      <w:pPr>
        <w:pStyle w:val="ListParagraph"/>
        <w:spacing w:line="360" w:lineRule="auto"/>
        <w:ind w:left="360" w:firstLine="0"/>
        <w:jc w:val="both"/>
      </w:pPr>
    </w:p>
    <w:p w14:paraId="653EE95B" w14:textId="41BD23FA" w:rsidR="00411DC2" w:rsidRDefault="00742A29" w:rsidP="00DE6687">
      <w:pPr>
        <w:pStyle w:val="ListParagraph"/>
        <w:numPr>
          <w:ilvl w:val="0"/>
          <w:numId w:val="27"/>
        </w:numPr>
        <w:spacing w:line="360" w:lineRule="auto"/>
        <w:jc w:val="both"/>
      </w:pPr>
      <w:r>
        <w:t>T</w:t>
      </w:r>
      <w:r w:rsidRPr="00FD25A4">
        <w:t xml:space="preserve">he Scientific Committee </w:t>
      </w:r>
      <w:r w:rsidR="00537F72">
        <w:t xml:space="preserve">(SC) </w:t>
      </w:r>
      <w:r>
        <w:t xml:space="preserve">responsible for </w:t>
      </w:r>
      <w:r w:rsidR="00411DC2">
        <w:t>developing and proposing scientific opinion of the Authority, including the assessment of food safety risks, and requesting information and research directed at providing information for the assessment of food safety risk, including aflatoxin.</w:t>
      </w:r>
      <w:r w:rsidR="001F05E3">
        <w:t xml:space="preserve">  </w:t>
      </w:r>
    </w:p>
    <w:p w14:paraId="0CC20743" w14:textId="540AED90" w:rsidR="00C9194C" w:rsidRPr="00452633" w:rsidRDefault="00C910BD" w:rsidP="00C9194C">
      <w:pPr>
        <w:spacing w:line="360" w:lineRule="auto"/>
        <w:jc w:val="both"/>
        <w:rPr>
          <w:b/>
        </w:rPr>
      </w:pPr>
      <w:r>
        <w:rPr>
          <w:b/>
        </w:rPr>
        <w:t>Identified g</w:t>
      </w:r>
      <w:r w:rsidR="00C9194C" w:rsidRPr="00452633">
        <w:rPr>
          <w:b/>
        </w:rPr>
        <w:t xml:space="preserve">aps: </w:t>
      </w:r>
    </w:p>
    <w:p w14:paraId="4EF66043" w14:textId="2170BCB6" w:rsidR="002C2CFF" w:rsidRDefault="00580095" w:rsidP="00A63DD9">
      <w:pPr>
        <w:spacing w:line="360" w:lineRule="auto"/>
        <w:ind w:left="0" w:firstLine="0"/>
        <w:jc w:val="both"/>
      </w:pPr>
      <w:r>
        <w:t xml:space="preserve">Since its </w:t>
      </w:r>
      <w:r w:rsidR="00C910BD">
        <w:t>establishment</w:t>
      </w:r>
      <w:r>
        <w:t>, it has not had an agenda originating from</w:t>
      </w:r>
      <w:r w:rsidR="00C910BD">
        <w:t xml:space="preserve"> the</w:t>
      </w:r>
      <w:r>
        <w:t xml:space="preserve"> Scientific Affairs Directorate</w:t>
      </w:r>
      <w:r w:rsidR="00537F72">
        <w:t xml:space="preserve"> (SAD) </w:t>
      </w:r>
      <w:r>
        <w:t>of FSQA responsible for preliminary risk assessment.</w:t>
      </w:r>
      <w:r w:rsidR="0069223A">
        <w:t xml:space="preserve"> </w:t>
      </w:r>
    </w:p>
    <w:p w14:paraId="5C740B8C" w14:textId="178CF3B2" w:rsidR="002C2CFF" w:rsidRDefault="002C2CFF" w:rsidP="002C2CFF">
      <w:pPr>
        <w:pStyle w:val="ListParagraph"/>
        <w:numPr>
          <w:ilvl w:val="0"/>
          <w:numId w:val="18"/>
        </w:numPr>
        <w:spacing w:line="360" w:lineRule="auto"/>
        <w:jc w:val="both"/>
      </w:pPr>
      <w:r>
        <w:lastRenderedPageBreak/>
        <w:t xml:space="preserve">It has also not issued any scientific opinions or commissioned any research for obtaining </w:t>
      </w:r>
      <w:r w:rsidR="00493F10">
        <w:t xml:space="preserve">scientific </w:t>
      </w:r>
      <w:r>
        <w:t xml:space="preserve">data relevant to </w:t>
      </w:r>
      <w:r w:rsidR="00493F10">
        <w:t>food safety and quality.</w:t>
      </w:r>
    </w:p>
    <w:p w14:paraId="28B4997D" w14:textId="15E8443F" w:rsidR="00580095" w:rsidRDefault="00580095" w:rsidP="002C2CFF">
      <w:pPr>
        <w:pStyle w:val="ListParagraph"/>
        <w:numPr>
          <w:ilvl w:val="0"/>
          <w:numId w:val="18"/>
        </w:numPr>
        <w:spacing w:line="360" w:lineRule="auto"/>
        <w:jc w:val="both"/>
      </w:pPr>
      <w:r w:rsidRPr="00580095">
        <w:t>The members of the</w:t>
      </w:r>
      <w:r w:rsidR="00537F72">
        <w:t xml:space="preserve"> SC</w:t>
      </w:r>
      <w:r w:rsidRPr="00580095">
        <w:t xml:space="preserve"> </w:t>
      </w:r>
      <w:r>
        <w:t xml:space="preserve">have not received any structured theoretical and hands-on training </w:t>
      </w:r>
      <w:r w:rsidRPr="00580095">
        <w:t xml:space="preserve">in </w:t>
      </w:r>
      <w:r w:rsidR="00493F10">
        <w:t>f</w:t>
      </w:r>
      <w:r w:rsidRPr="00580095">
        <w:t>ood safety risk a</w:t>
      </w:r>
      <w:r>
        <w:t>ssessment, in particular aflatoxin risk assessment</w:t>
      </w:r>
      <w:r w:rsidR="00A80A41">
        <w:t xml:space="preserve"> and hence the knowledge and experience required </w:t>
      </w:r>
      <w:r w:rsidR="00897294">
        <w:t xml:space="preserve">for carrying out risk assessments </w:t>
      </w:r>
      <w:r w:rsidR="00A80A41">
        <w:t xml:space="preserve">is limited within the </w:t>
      </w:r>
      <w:r w:rsidR="00537F72">
        <w:t>S</w:t>
      </w:r>
      <w:r w:rsidR="00A80A41">
        <w:t>C.</w:t>
      </w:r>
    </w:p>
    <w:p w14:paraId="71C86FA8" w14:textId="77777777" w:rsidR="002272C1" w:rsidRDefault="00C9194C" w:rsidP="002272C1">
      <w:pPr>
        <w:spacing w:line="360" w:lineRule="auto"/>
        <w:ind w:left="0" w:firstLine="0"/>
        <w:jc w:val="both"/>
        <w:rPr>
          <w:lang w:val="en-CA"/>
        </w:rPr>
      </w:pPr>
      <w:r w:rsidRPr="00452633">
        <w:rPr>
          <w:b/>
        </w:rPr>
        <w:t>Intervention options:</w:t>
      </w:r>
      <w:r w:rsidR="00452633">
        <w:rPr>
          <w:b/>
        </w:rPr>
        <w:t xml:space="preserve"> </w:t>
      </w:r>
    </w:p>
    <w:p w14:paraId="6B6817E3" w14:textId="536C5773" w:rsidR="006E2E11" w:rsidRPr="00A63DD9" w:rsidRDefault="006E2E11" w:rsidP="00A63DD9">
      <w:pPr>
        <w:pStyle w:val="ListParagraph"/>
        <w:numPr>
          <w:ilvl w:val="0"/>
          <w:numId w:val="28"/>
        </w:numPr>
        <w:spacing w:line="360" w:lineRule="auto"/>
        <w:jc w:val="both"/>
        <w:rPr>
          <w:lang w:val="en-CA"/>
        </w:rPr>
      </w:pPr>
      <w:r w:rsidRPr="00A63DD9">
        <w:rPr>
          <w:lang w:val="en-CA"/>
        </w:rPr>
        <w:t>Develop the capacity of th</w:t>
      </w:r>
      <w:r w:rsidR="00537F72" w:rsidRPr="00A63DD9">
        <w:rPr>
          <w:lang w:val="en-CA"/>
        </w:rPr>
        <w:t xml:space="preserve">e SC and its Working Groups </w:t>
      </w:r>
      <w:r w:rsidRPr="00A63DD9">
        <w:rPr>
          <w:lang w:val="en-CA"/>
        </w:rPr>
        <w:t xml:space="preserve">to </w:t>
      </w:r>
      <w:r w:rsidR="00537F72" w:rsidRPr="00A63DD9">
        <w:rPr>
          <w:lang w:val="en-CA"/>
        </w:rPr>
        <w:t>carry out their mandate</w:t>
      </w:r>
      <w:r w:rsidR="00074E42" w:rsidRPr="00A63DD9">
        <w:rPr>
          <w:lang w:val="en-CA"/>
        </w:rPr>
        <w:t xml:space="preserve"> in general and specifically, to address the gaps identified. </w:t>
      </w:r>
      <w:r w:rsidR="00537F72" w:rsidRPr="00A63DD9">
        <w:rPr>
          <w:lang w:val="en-CA"/>
        </w:rPr>
        <w:t xml:space="preserve">. </w:t>
      </w:r>
    </w:p>
    <w:p w14:paraId="040D9989" w14:textId="77777777" w:rsidR="00493F10" w:rsidRDefault="00493F10" w:rsidP="00493F10">
      <w:pPr>
        <w:pStyle w:val="ListParagraph"/>
        <w:spacing w:line="360" w:lineRule="auto"/>
        <w:ind w:left="360" w:firstLine="0"/>
        <w:jc w:val="both"/>
      </w:pPr>
    </w:p>
    <w:p w14:paraId="671ACB0C" w14:textId="537B180D" w:rsidR="00742A29" w:rsidRDefault="00411DC2" w:rsidP="00DE6687">
      <w:pPr>
        <w:pStyle w:val="ListParagraph"/>
        <w:numPr>
          <w:ilvl w:val="0"/>
          <w:numId w:val="27"/>
        </w:numPr>
        <w:spacing w:line="360" w:lineRule="auto"/>
        <w:jc w:val="both"/>
      </w:pPr>
      <w:r>
        <w:t>T</w:t>
      </w:r>
      <w:r w:rsidR="00742A29" w:rsidRPr="00FD25A4">
        <w:t>he Stakeholder Consultative Forum</w:t>
      </w:r>
      <w:r w:rsidR="00537F72">
        <w:t xml:space="preserve"> (SCF)</w:t>
      </w:r>
      <w:r w:rsidR="001F05E3">
        <w:t xml:space="preserve"> </w:t>
      </w:r>
      <w:r w:rsidR="001D23AD">
        <w:t>consist</w:t>
      </w:r>
      <w:r w:rsidR="001578F1">
        <w:t>s</w:t>
      </w:r>
      <w:r w:rsidR="001D23AD">
        <w:t xml:space="preserve"> of members appointed by the Board. They represent stakeholders along the food and feed chain who have a vested interest in food safety and quality. The Forum ensures that stakeholders’ views and concerns are taken into account; ensures close cooperation between the Authority and stakeholders in the areas of food safety and quality; and ensures risk communications where the Authority identifies or otherwise obtains information of an emerging risk. </w:t>
      </w:r>
    </w:p>
    <w:p w14:paraId="4753AA4D" w14:textId="48E5DA27" w:rsidR="004962A6" w:rsidRDefault="00C910BD" w:rsidP="002272C1">
      <w:pPr>
        <w:spacing w:line="360" w:lineRule="auto"/>
        <w:ind w:left="345" w:firstLine="0"/>
        <w:jc w:val="both"/>
      </w:pPr>
      <w:r>
        <w:rPr>
          <w:b/>
        </w:rPr>
        <w:t>Identified g</w:t>
      </w:r>
      <w:r w:rsidR="002272C1" w:rsidRPr="009A1D8A">
        <w:rPr>
          <w:b/>
        </w:rPr>
        <w:t>aps:</w:t>
      </w:r>
      <w:r w:rsidR="002272C1">
        <w:t xml:space="preserve"> </w:t>
      </w:r>
    </w:p>
    <w:p w14:paraId="57293F56" w14:textId="2D7CF088" w:rsidR="002272C1" w:rsidRDefault="00764F1D" w:rsidP="00D30DD3">
      <w:pPr>
        <w:pStyle w:val="ListParagraph"/>
        <w:numPr>
          <w:ilvl w:val="0"/>
          <w:numId w:val="20"/>
        </w:numPr>
        <w:spacing w:line="360" w:lineRule="auto"/>
        <w:jc w:val="both"/>
      </w:pPr>
      <w:r>
        <w:t>The SC</w:t>
      </w:r>
      <w:r w:rsidR="005330C3">
        <w:t>F h</w:t>
      </w:r>
      <w:r w:rsidR="00244849">
        <w:t>ave not proactively engaged the Board and management of the Authority to ensure that</w:t>
      </w:r>
      <w:r w:rsidR="005330C3">
        <w:t xml:space="preserve"> their food safety concerns are taken into consideration in the programmes and activities of the Authority. </w:t>
      </w:r>
    </w:p>
    <w:p w14:paraId="54D00993" w14:textId="5DE0BCA8" w:rsidR="005330C3" w:rsidRDefault="005330C3" w:rsidP="00D30DD3">
      <w:pPr>
        <w:pStyle w:val="ListParagraph"/>
        <w:numPr>
          <w:ilvl w:val="0"/>
          <w:numId w:val="20"/>
        </w:numPr>
        <w:spacing w:line="360" w:lineRule="auto"/>
        <w:jc w:val="both"/>
      </w:pPr>
      <w:r>
        <w:t>The stakeholder representatives on the Forum do not provide feedback to the members of their respective constituencies and vice versa do not bring to the agenda of the Forum the concerns and issues emanating from the membership.</w:t>
      </w:r>
    </w:p>
    <w:p w14:paraId="2FB5E8CE" w14:textId="07789560" w:rsidR="005330C3" w:rsidRDefault="005330C3" w:rsidP="00D30DD3">
      <w:pPr>
        <w:pStyle w:val="ListParagraph"/>
        <w:numPr>
          <w:ilvl w:val="0"/>
          <w:numId w:val="20"/>
        </w:numPr>
        <w:spacing w:line="360" w:lineRule="auto"/>
        <w:jc w:val="both"/>
      </w:pPr>
      <w:r>
        <w:t xml:space="preserve">Their capacity in terms of knowledge and understanding of food safety hazards and the national food safety legislation, including aflatoxin, is low. </w:t>
      </w:r>
    </w:p>
    <w:p w14:paraId="14953C71" w14:textId="6E7EB56D" w:rsidR="002272C1" w:rsidRPr="009A1D8A" w:rsidRDefault="002272C1" w:rsidP="00A86702">
      <w:pPr>
        <w:spacing w:line="360" w:lineRule="auto"/>
        <w:ind w:left="0" w:firstLine="0"/>
        <w:jc w:val="both"/>
        <w:rPr>
          <w:b/>
        </w:rPr>
      </w:pPr>
      <w:r w:rsidRPr="009A1D8A">
        <w:rPr>
          <w:b/>
        </w:rPr>
        <w:t>Intervention options:</w:t>
      </w:r>
    </w:p>
    <w:p w14:paraId="76D57190" w14:textId="0B3F3C68" w:rsidR="00764F1D" w:rsidRDefault="00FD6EE3" w:rsidP="00764F1D">
      <w:pPr>
        <w:pStyle w:val="ListParagraph"/>
        <w:numPr>
          <w:ilvl w:val="0"/>
          <w:numId w:val="22"/>
        </w:numPr>
        <w:spacing w:line="360" w:lineRule="auto"/>
        <w:jc w:val="both"/>
      </w:pPr>
      <w:r>
        <w:t xml:space="preserve">Strengthen </w:t>
      </w:r>
      <w:r w:rsidR="00537F72">
        <w:t xml:space="preserve">the capacity </w:t>
      </w:r>
      <w:r w:rsidR="00764F1D">
        <w:t xml:space="preserve">of SCF to carry out its </w:t>
      </w:r>
      <w:r w:rsidR="00A769A8">
        <w:t>mandate</w:t>
      </w:r>
      <w:r>
        <w:t xml:space="preserve"> </w:t>
      </w:r>
      <w:r w:rsidR="00A769A8">
        <w:t>and responsibilities</w:t>
      </w:r>
      <w:r>
        <w:t xml:space="preserve"> in general, and to address the gaps identified.</w:t>
      </w:r>
    </w:p>
    <w:p w14:paraId="553B8BD9" w14:textId="75729F90" w:rsidR="00483777" w:rsidRDefault="00764F1D" w:rsidP="00764F1D">
      <w:pPr>
        <w:pStyle w:val="ListParagraph"/>
        <w:spacing w:line="360" w:lineRule="auto"/>
        <w:ind w:left="360" w:firstLine="0"/>
        <w:jc w:val="both"/>
      </w:pPr>
      <w:r>
        <w:t xml:space="preserve"> </w:t>
      </w:r>
    </w:p>
    <w:p w14:paraId="09EC6BCC" w14:textId="66129C4B" w:rsidR="00742A29" w:rsidRDefault="006A7079" w:rsidP="00DE6687">
      <w:pPr>
        <w:pStyle w:val="ListParagraph"/>
        <w:numPr>
          <w:ilvl w:val="0"/>
          <w:numId w:val="27"/>
        </w:numPr>
        <w:spacing w:line="360" w:lineRule="auto"/>
        <w:jc w:val="both"/>
      </w:pPr>
      <w:r>
        <w:t>T</w:t>
      </w:r>
      <w:r w:rsidR="00742A29" w:rsidRPr="00FD25A4">
        <w:t>he Food Control Advisory Committee</w:t>
      </w:r>
      <w:r w:rsidR="00764F1D">
        <w:t xml:space="preserve"> (FCAC)</w:t>
      </w:r>
      <w:r>
        <w:t>, an independent body</w:t>
      </w:r>
      <w:r w:rsidR="00483777">
        <w:t xml:space="preserve"> outside the institutional framework of the Authority</w:t>
      </w:r>
      <w:r>
        <w:t xml:space="preserve">, responsible for providing advice on the preparation of primary and </w:t>
      </w:r>
      <w:r>
        <w:lastRenderedPageBreak/>
        <w:t>secondary legislation related to food and feed; monitoring implementation of food and feed laws and legislations to ensure they meet national objectives and comply with international commitments</w:t>
      </w:r>
      <w:r w:rsidR="00483777">
        <w:t xml:space="preserve"> to government on the performance of the Authority and its structures, including the delegation of responsibility to other bodies; to government on policy with regard to food safety and quality matters.</w:t>
      </w:r>
    </w:p>
    <w:p w14:paraId="6DFDE4A0" w14:textId="413172B8" w:rsidR="009A1D8A" w:rsidRDefault="00C910BD" w:rsidP="00A607CF">
      <w:pPr>
        <w:jc w:val="both"/>
        <w:rPr>
          <w:b/>
        </w:rPr>
      </w:pPr>
      <w:r>
        <w:rPr>
          <w:b/>
        </w:rPr>
        <w:t>Identified g</w:t>
      </w:r>
      <w:r w:rsidR="00A607CF" w:rsidRPr="009A1D8A">
        <w:rPr>
          <w:b/>
        </w:rPr>
        <w:t>aps:</w:t>
      </w:r>
    </w:p>
    <w:p w14:paraId="08A53E93" w14:textId="3B167E55" w:rsidR="00915B2F" w:rsidRDefault="009451E4" w:rsidP="009451E4">
      <w:pPr>
        <w:pStyle w:val="ListParagraph"/>
        <w:numPr>
          <w:ilvl w:val="0"/>
          <w:numId w:val="22"/>
        </w:numPr>
        <w:jc w:val="both"/>
      </w:pPr>
      <w:r w:rsidRPr="009451E4">
        <w:t xml:space="preserve">The </w:t>
      </w:r>
      <w:r>
        <w:t xml:space="preserve">procedures and processes are not in place for the </w:t>
      </w:r>
      <w:r w:rsidRPr="009451E4">
        <w:t>FCAC</w:t>
      </w:r>
      <w:r>
        <w:t xml:space="preserve"> to carry out its mandate and functions.</w:t>
      </w:r>
    </w:p>
    <w:p w14:paraId="23622EAC" w14:textId="77777777" w:rsidR="00915B2F" w:rsidRPr="004439D8" w:rsidRDefault="00915B2F" w:rsidP="00915B2F">
      <w:pPr>
        <w:spacing w:line="360" w:lineRule="auto"/>
        <w:ind w:left="0" w:firstLine="0"/>
        <w:jc w:val="both"/>
      </w:pPr>
      <w:r w:rsidRPr="009A1D8A">
        <w:rPr>
          <w:b/>
        </w:rPr>
        <w:t>Intervention options:</w:t>
      </w:r>
    </w:p>
    <w:p w14:paraId="57A026C2" w14:textId="640F756D" w:rsidR="004439D8" w:rsidRPr="004439D8" w:rsidRDefault="004439D8" w:rsidP="004439D8">
      <w:pPr>
        <w:pStyle w:val="ListParagraph"/>
        <w:numPr>
          <w:ilvl w:val="0"/>
          <w:numId w:val="22"/>
        </w:numPr>
        <w:spacing w:line="360" w:lineRule="auto"/>
        <w:jc w:val="both"/>
      </w:pPr>
      <w:r w:rsidRPr="004439D8">
        <w:t>Put in place procedures and processes for it to carry out its mandate and functions.</w:t>
      </w:r>
    </w:p>
    <w:p w14:paraId="0406DEC0" w14:textId="41681C0B" w:rsidR="00A607CF" w:rsidRDefault="00A2765D" w:rsidP="00A2765D">
      <w:pPr>
        <w:pStyle w:val="Heading2"/>
      </w:pPr>
      <w:bookmarkStart w:id="59" w:name="_Toc427672788"/>
      <w:r>
        <w:t>10</w:t>
      </w:r>
      <w:r w:rsidR="00FD772F">
        <w:t>.8</w:t>
      </w:r>
      <w:r w:rsidR="00FA4E5A">
        <w:t xml:space="preserve"> Food standard s</w:t>
      </w:r>
      <w:r w:rsidR="00496096">
        <w:t>ystems,</w:t>
      </w:r>
      <w:r w:rsidR="00FA4E5A">
        <w:t xml:space="preserve"> laboratory support services and human capacity to provide aflatoxin safe food to the public</w:t>
      </w:r>
      <w:bookmarkEnd w:id="59"/>
      <w:r w:rsidR="00FA4E5A">
        <w:t xml:space="preserve"> </w:t>
      </w:r>
    </w:p>
    <w:p w14:paraId="5B83E263" w14:textId="77777777" w:rsidR="000050C0" w:rsidRPr="000050C0" w:rsidRDefault="000050C0" w:rsidP="000050C0"/>
    <w:p w14:paraId="7670B176" w14:textId="5A79DA68" w:rsidR="000A6FC0" w:rsidRDefault="000A6FC0" w:rsidP="00A607CF">
      <w:pPr>
        <w:spacing w:after="157" w:line="360" w:lineRule="auto"/>
        <w:ind w:left="0" w:firstLine="0"/>
        <w:jc w:val="both"/>
        <w:rPr>
          <w:color w:val="auto"/>
        </w:rPr>
      </w:pPr>
      <w:r>
        <w:rPr>
          <w:color w:val="auto"/>
        </w:rPr>
        <w:t xml:space="preserve">The Gambia Standards Bureau Act 2010 established The Gambia Standards Bureau with responsibility for among others, standardization, became operational in 2012. It has established standards development technical committees made up of stakeholders. </w:t>
      </w:r>
      <w:r w:rsidR="000A2820">
        <w:rPr>
          <w:color w:val="auto"/>
        </w:rPr>
        <w:t>N</w:t>
      </w:r>
      <w:r>
        <w:rPr>
          <w:color w:val="auto"/>
        </w:rPr>
        <w:t>ational standards for groundnuts and rice</w:t>
      </w:r>
      <w:r w:rsidR="000A2820">
        <w:rPr>
          <w:color w:val="auto"/>
        </w:rPr>
        <w:t>,</w:t>
      </w:r>
      <w:r>
        <w:rPr>
          <w:color w:val="auto"/>
        </w:rPr>
        <w:t xml:space="preserve"> based on C</w:t>
      </w:r>
      <w:r w:rsidR="000A2820">
        <w:rPr>
          <w:color w:val="auto"/>
        </w:rPr>
        <w:t>odex</w:t>
      </w:r>
      <w:r>
        <w:rPr>
          <w:color w:val="auto"/>
        </w:rPr>
        <w:t xml:space="preserve"> standards for which maximum aflatoxin levels have been specified</w:t>
      </w:r>
      <w:r w:rsidR="000A2820">
        <w:rPr>
          <w:color w:val="auto"/>
        </w:rPr>
        <w:t>, have been developed; the standards for maize are in a draft form.</w:t>
      </w:r>
      <w:r>
        <w:rPr>
          <w:color w:val="auto"/>
        </w:rPr>
        <w:t xml:space="preserve">    </w:t>
      </w:r>
    </w:p>
    <w:p w14:paraId="2961D987" w14:textId="6D245402" w:rsidR="00304051" w:rsidRDefault="000A2820" w:rsidP="00A607CF">
      <w:pPr>
        <w:spacing w:after="157" w:line="360" w:lineRule="auto"/>
        <w:ind w:left="0" w:firstLine="0"/>
        <w:jc w:val="both"/>
        <w:rPr>
          <w:color w:val="auto"/>
        </w:rPr>
      </w:pPr>
      <w:r>
        <w:rPr>
          <w:color w:val="auto"/>
        </w:rPr>
        <w:t>There is a N</w:t>
      </w:r>
      <w:r w:rsidR="00304051">
        <w:rPr>
          <w:color w:val="auto"/>
        </w:rPr>
        <w:t>ational C</w:t>
      </w:r>
      <w:r>
        <w:rPr>
          <w:color w:val="auto"/>
        </w:rPr>
        <w:t>odex</w:t>
      </w:r>
      <w:r w:rsidR="00304051">
        <w:rPr>
          <w:color w:val="auto"/>
        </w:rPr>
        <w:t xml:space="preserve"> </w:t>
      </w:r>
      <w:r>
        <w:rPr>
          <w:color w:val="auto"/>
        </w:rPr>
        <w:t>C</w:t>
      </w:r>
      <w:r w:rsidR="00304051">
        <w:rPr>
          <w:color w:val="auto"/>
        </w:rPr>
        <w:t>ommittee which also comprises a multi stakeholder membership and its primary activity is the review and commenting on C</w:t>
      </w:r>
      <w:r w:rsidR="004B3F96">
        <w:rPr>
          <w:color w:val="auto"/>
        </w:rPr>
        <w:t>odex</w:t>
      </w:r>
      <w:r w:rsidR="00304051">
        <w:rPr>
          <w:color w:val="auto"/>
        </w:rPr>
        <w:t xml:space="preserve"> draft standards, codes and recommendations with a view to coming up with national positions</w:t>
      </w:r>
      <w:r w:rsidR="00792694">
        <w:rPr>
          <w:color w:val="auto"/>
        </w:rPr>
        <w:t>. The committee</w:t>
      </w:r>
      <w:r w:rsidR="00304051">
        <w:rPr>
          <w:color w:val="auto"/>
        </w:rPr>
        <w:t xml:space="preserve"> build</w:t>
      </w:r>
      <w:r w:rsidR="00792694">
        <w:rPr>
          <w:color w:val="auto"/>
        </w:rPr>
        <w:t>s</w:t>
      </w:r>
      <w:r w:rsidR="00304051">
        <w:rPr>
          <w:color w:val="auto"/>
        </w:rPr>
        <w:t xml:space="preserve"> capacities of stakeholders on the procedures for the development of C</w:t>
      </w:r>
      <w:r w:rsidR="004B3F96">
        <w:rPr>
          <w:color w:val="auto"/>
        </w:rPr>
        <w:t>odex</w:t>
      </w:r>
      <w:r w:rsidR="00792694">
        <w:rPr>
          <w:color w:val="auto"/>
        </w:rPr>
        <w:t xml:space="preserve"> standards and </w:t>
      </w:r>
      <w:r w:rsidR="00304051">
        <w:rPr>
          <w:color w:val="auto"/>
        </w:rPr>
        <w:t>create</w:t>
      </w:r>
      <w:r w:rsidR="00792694">
        <w:rPr>
          <w:color w:val="auto"/>
        </w:rPr>
        <w:t>s</w:t>
      </w:r>
      <w:r w:rsidR="00304051">
        <w:rPr>
          <w:color w:val="auto"/>
        </w:rPr>
        <w:t xml:space="preserve"> awareness. Its work also covers coming up with national positions on standards for commodities susceptible to aflatoxin and other horizontal standards, e.g.,</w:t>
      </w:r>
      <w:r w:rsidR="004B3F96">
        <w:rPr>
          <w:color w:val="auto"/>
        </w:rPr>
        <w:t xml:space="preserve"> Codex</w:t>
      </w:r>
      <w:r w:rsidR="00304051">
        <w:rPr>
          <w:color w:val="auto"/>
        </w:rPr>
        <w:t xml:space="preserve"> standards for contaminants in food. </w:t>
      </w:r>
      <w:r>
        <w:rPr>
          <w:color w:val="auto"/>
        </w:rPr>
        <w:t xml:space="preserve">In addition </w:t>
      </w:r>
      <w:r w:rsidR="004B3F96">
        <w:rPr>
          <w:color w:val="auto"/>
        </w:rPr>
        <w:t>the National Codex</w:t>
      </w:r>
      <w:r>
        <w:rPr>
          <w:color w:val="auto"/>
        </w:rPr>
        <w:t xml:space="preserve"> Committee has been designated as the national technical committee for food standards. The Food Act of 2011 recognises the committee as the food control advisory committee mentioned earlier. Given the importance of aflatoxin to The Gambia the committee should set up a technical committee for contaminants in food and feed.  </w:t>
      </w:r>
      <w:r w:rsidR="00304051">
        <w:rPr>
          <w:color w:val="auto"/>
        </w:rPr>
        <w:t xml:space="preserve">    </w:t>
      </w:r>
    </w:p>
    <w:p w14:paraId="5B40380E" w14:textId="77777777" w:rsidR="005100B3" w:rsidRDefault="004B3F96" w:rsidP="005100B3">
      <w:pPr>
        <w:spacing w:after="157" w:line="360" w:lineRule="auto"/>
        <w:ind w:left="0" w:firstLine="0"/>
        <w:jc w:val="both"/>
      </w:pPr>
      <w:r>
        <w:t>A n</w:t>
      </w:r>
      <w:r w:rsidR="00496096">
        <w:t>ationa</w:t>
      </w:r>
      <w:r>
        <w:t>l programme</w:t>
      </w:r>
      <w:r w:rsidR="00496096">
        <w:t xml:space="preserve"> for laboratory analysis of aflatoxin </w:t>
      </w:r>
      <w:r>
        <w:t>exists</w:t>
      </w:r>
      <w:r w:rsidR="00496096">
        <w:t xml:space="preserve"> within the Mycotoxin laboratory of </w:t>
      </w:r>
      <w:r>
        <w:t>the National Agricultural Research Institute (</w:t>
      </w:r>
      <w:r w:rsidR="00496096">
        <w:t>NARI</w:t>
      </w:r>
      <w:r>
        <w:t xml:space="preserve">), </w:t>
      </w:r>
      <w:r w:rsidR="00792694">
        <w:t>which has received technical assistance, training and equipment support from West Africa Quality Programme</w:t>
      </w:r>
      <w:r w:rsidR="004765E6">
        <w:t xml:space="preserve"> </w:t>
      </w:r>
      <w:r w:rsidR="00792694">
        <w:t>and EIF</w:t>
      </w:r>
      <w:r w:rsidR="004765E6">
        <w:t xml:space="preserve"> with a view to acquiring international accreditation (ISO 17025) but so far this has not been attained</w:t>
      </w:r>
      <w:r w:rsidR="00792694">
        <w:t>.</w:t>
      </w:r>
      <w:r w:rsidR="004765E6">
        <w:t xml:space="preserve"> </w:t>
      </w:r>
      <w:r w:rsidR="005100B3">
        <w:t xml:space="preserve">The laboratory has also recently received equipment, reagents and training in the context of AfricaAIMS initiative. This will enable the laboratory </w:t>
      </w:r>
      <w:r w:rsidR="005100B3">
        <w:lastRenderedPageBreak/>
        <w:t xml:space="preserve">to carryout tests to establish the prevalence of aflatoxin in groundnut, maize and rice, including imported rice.    </w:t>
      </w:r>
    </w:p>
    <w:p w14:paraId="7BE10A0B" w14:textId="421D9DAD" w:rsidR="00A2765D" w:rsidRDefault="00751854" w:rsidP="00B758B3">
      <w:pPr>
        <w:spacing w:after="157" w:line="360" w:lineRule="auto"/>
        <w:ind w:left="0" w:firstLine="0"/>
        <w:jc w:val="both"/>
      </w:pPr>
      <w:r>
        <w:t>R</w:t>
      </w:r>
      <w:r w:rsidR="004765E6">
        <w:t xml:space="preserve">ecent assessments by </w:t>
      </w:r>
      <w:r>
        <w:t xml:space="preserve">both </w:t>
      </w:r>
      <w:r w:rsidR="004765E6">
        <w:t xml:space="preserve">EDES and FSQA </w:t>
      </w:r>
      <w:r>
        <w:t>concluded that the laboratory has deficiencies in terms of</w:t>
      </w:r>
      <w:r w:rsidR="00E1538D">
        <w:t xml:space="preserve"> staff competencies,</w:t>
      </w:r>
      <w:r>
        <w:t xml:space="preserve"> design and structure. In addition some of the equipment are not functi</w:t>
      </w:r>
      <w:r w:rsidR="00E1538D">
        <w:t>onal and there are no good laboratory practices,</w:t>
      </w:r>
      <w:r>
        <w:t xml:space="preserve"> quality and technical manuals.</w:t>
      </w:r>
      <w:r w:rsidR="00792694">
        <w:t xml:space="preserve">  </w:t>
      </w:r>
      <w:r w:rsidR="00AB2612">
        <w:t xml:space="preserve">Aflatoxin tests for exports are carried out by the </w:t>
      </w:r>
      <w:r w:rsidR="007710B3">
        <w:t>laboratory;</w:t>
      </w:r>
      <w:r w:rsidR="00AB2612">
        <w:t xml:space="preserve"> however their groundnut test results were at variance with test</w:t>
      </w:r>
      <w:r w:rsidR="005100B3">
        <w:t>s</w:t>
      </w:r>
      <w:r w:rsidR="00AB2612">
        <w:t xml:space="preserve"> carried out by testing laboratories in the EU as evidenced in the rapid alerts issued by the DG SANCO. </w:t>
      </w:r>
      <w:r w:rsidR="00496096">
        <w:t xml:space="preserve"> </w:t>
      </w:r>
    </w:p>
    <w:p w14:paraId="34B34DA9" w14:textId="77777777" w:rsidR="00F210A9" w:rsidRDefault="00F210A9" w:rsidP="00233006">
      <w:pPr>
        <w:pStyle w:val="Heading1"/>
      </w:pPr>
    </w:p>
    <w:p w14:paraId="3C00EE39" w14:textId="07F890C7" w:rsidR="00860FE3" w:rsidRDefault="00A2765D" w:rsidP="007710B3">
      <w:pPr>
        <w:pStyle w:val="Heading1"/>
      </w:pPr>
      <w:bookmarkStart w:id="60" w:name="_Toc427672789"/>
      <w:r>
        <w:t>11</w:t>
      </w:r>
      <w:r w:rsidR="000050C0" w:rsidRPr="00233006">
        <w:t xml:space="preserve">.0 </w:t>
      </w:r>
      <w:r w:rsidR="005D77F6" w:rsidRPr="00233006">
        <w:t>Conclusion</w:t>
      </w:r>
      <w:bookmarkEnd w:id="60"/>
    </w:p>
    <w:p w14:paraId="65D6DB29" w14:textId="77777777" w:rsidR="007710B3" w:rsidRPr="007710B3" w:rsidRDefault="007710B3" w:rsidP="007710B3"/>
    <w:p w14:paraId="3D813DA9" w14:textId="30C9B505" w:rsidR="00E35592" w:rsidRPr="008D7590" w:rsidRDefault="00860FE3" w:rsidP="00E35592">
      <w:pPr>
        <w:spacing w:after="34" w:line="360" w:lineRule="auto"/>
        <w:jc w:val="both"/>
        <w:rPr>
          <w:color w:val="auto"/>
        </w:rPr>
      </w:pPr>
      <w:r w:rsidRPr="00860FE3">
        <w:t xml:space="preserve">The </w:t>
      </w:r>
      <w:r>
        <w:t>s</w:t>
      </w:r>
      <w:r w:rsidR="00935E55">
        <w:t>ituational a</w:t>
      </w:r>
      <w:r w:rsidRPr="00860FE3">
        <w:t xml:space="preserve">nalysis for the </w:t>
      </w:r>
      <w:r w:rsidR="00935E55">
        <w:t>m</w:t>
      </w:r>
      <w:r w:rsidRPr="00860FE3">
        <w:t xml:space="preserve">itigation of </w:t>
      </w:r>
      <w:r w:rsidR="00935E55">
        <w:t>a</w:t>
      </w:r>
      <w:r w:rsidRPr="00860FE3">
        <w:t xml:space="preserve">flatoxin within the </w:t>
      </w:r>
      <w:r w:rsidR="00935E55">
        <w:t>n</w:t>
      </w:r>
      <w:r w:rsidRPr="00860FE3">
        <w:t xml:space="preserve">ational </w:t>
      </w:r>
      <w:r w:rsidR="00935E55">
        <w:t>food s</w:t>
      </w:r>
      <w:r w:rsidRPr="00860FE3">
        <w:t xml:space="preserve">afety </w:t>
      </w:r>
      <w:r w:rsidR="00935E55">
        <w:t>s</w:t>
      </w:r>
      <w:r w:rsidRPr="00860FE3">
        <w:t>ystem of The Gambia</w:t>
      </w:r>
      <w:r>
        <w:t xml:space="preserve"> has established aflatoxin as a major food safety hazard posing significant risk</w:t>
      </w:r>
      <w:r w:rsidR="001B0518">
        <w:t>s</w:t>
      </w:r>
      <w:r>
        <w:t xml:space="preserve"> to humans, animals, and susceptible crops including groundnuts, maize and rice. </w:t>
      </w:r>
      <w:r w:rsidR="00FC57FB">
        <w:t xml:space="preserve">It also revealed that all the three commodities constitute a very high proportion of the food that is consumed by the general Gambian population, of which own consumption by farmers is the highest. </w:t>
      </w:r>
      <w:r w:rsidR="003E10E0">
        <w:t>Furthermore, it revealed that awareness of the</w:t>
      </w:r>
      <w:r w:rsidR="00935E55">
        <w:t xml:space="preserve"> occurrence </w:t>
      </w:r>
      <w:r w:rsidR="003E10E0">
        <w:t xml:space="preserve">of aflatoxin </w:t>
      </w:r>
      <w:r w:rsidR="00935E55">
        <w:t xml:space="preserve">and </w:t>
      </w:r>
      <w:r w:rsidR="003E10E0">
        <w:t xml:space="preserve">its </w:t>
      </w:r>
      <w:r w:rsidR="00935E55">
        <w:t xml:space="preserve">consequences is generally low among the population, including the actors of the three value chains assessed under this study. </w:t>
      </w:r>
      <w:r w:rsidR="00E35592" w:rsidRPr="00CD5957">
        <w:rPr>
          <w:rFonts w:eastAsia="Calibri"/>
        </w:rPr>
        <w:t xml:space="preserve">Application of GAP for the production of safe and quality produce with a </w:t>
      </w:r>
      <w:r w:rsidR="00E35592" w:rsidRPr="008D7590">
        <w:rPr>
          <w:rFonts w:eastAsia="Calibri"/>
        </w:rPr>
        <w:t xml:space="preserve">focus on aflatoxin mitigation </w:t>
      </w:r>
      <w:r w:rsidR="008C6109" w:rsidRPr="008D7590">
        <w:rPr>
          <w:rFonts w:eastAsia="Calibri"/>
        </w:rPr>
        <w:t xml:space="preserve">should be promoted.  </w:t>
      </w:r>
      <w:r w:rsidR="003D5E9A" w:rsidRPr="008D7590">
        <w:rPr>
          <w:rFonts w:eastAsia="Calibri"/>
        </w:rPr>
        <w:t>It is also crucial to r</w:t>
      </w:r>
      <w:r w:rsidR="00073758" w:rsidRPr="008D7590">
        <w:rPr>
          <w:rFonts w:eastAsia="Calibri"/>
        </w:rPr>
        <w:t>ais</w:t>
      </w:r>
      <w:r w:rsidR="003D5E9A" w:rsidRPr="008D7590">
        <w:rPr>
          <w:rFonts w:eastAsia="Calibri"/>
        </w:rPr>
        <w:t>e</w:t>
      </w:r>
      <w:r w:rsidR="00073758" w:rsidRPr="008D7590">
        <w:rPr>
          <w:rFonts w:eastAsia="Calibri"/>
        </w:rPr>
        <w:t xml:space="preserve"> awareness among value chain actors and government </w:t>
      </w:r>
      <w:r w:rsidR="003D5E9A" w:rsidRPr="008D7590">
        <w:rPr>
          <w:rFonts w:eastAsia="Calibri"/>
        </w:rPr>
        <w:t>officials.</w:t>
      </w:r>
      <w:r w:rsidR="00E35592" w:rsidRPr="008D7590">
        <w:rPr>
          <w:color w:val="auto"/>
        </w:rPr>
        <w:t xml:space="preserve"> </w:t>
      </w:r>
    </w:p>
    <w:p w14:paraId="5DA0C71C" w14:textId="77777777" w:rsidR="009E276B" w:rsidRPr="008D7590" w:rsidRDefault="009E276B" w:rsidP="000C3EE7">
      <w:pPr>
        <w:spacing w:after="0" w:line="360" w:lineRule="auto"/>
        <w:ind w:left="0" w:firstLine="0"/>
        <w:jc w:val="both"/>
      </w:pPr>
    </w:p>
    <w:p w14:paraId="0AB3CAEF" w14:textId="3D8725B8" w:rsidR="00BC1F61" w:rsidRPr="008D7590" w:rsidRDefault="00073758" w:rsidP="002B2C64">
      <w:pPr>
        <w:spacing w:line="360" w:lineRule="auto"/>
        <w:jc w:val="both"/>
      </w:pPr>
      <w:r w:rsidRPr="008D7590">
        <w:t>The economic impact</w:t>
      </w:r>
      <w:r w:rsidR="00AF68EC" w:rsidRPr="008D7590">
        <w:t xml:space="preserve"> assessment </w:t>
      </w:r>
      <w:r w:rsidRPr="008D7590">
        <w:t xml:space="preserve">revealed </w:t>
      </w:r>
      <w:r w:rsidR="00AF68EC" w:rsidRPr="008D7590">
        <w:t xml:space="preserve">potential losses in agricultural production and productivity, food security, and obvious losses in international trade. </w:t>
      </w:r>
      <w:r w:rsidR="001B261B" w:rsidRPr="008D7590">
        <w:t>Computations using international premium and actual prices for HPS 60/70 Bird Feed from 2000 to 2014 indicate</w:t>
      </w:r>
      <w:r w:rsidR="001B261B" w:rsidRPr="008D7590">
        <w:rPr>
          <w:color w:val="FF0000"/>
        </w:rPr>
        <w:t xml:space="preserve"> </w:t>
      </w:r>
      <w:r w:rsidR="001B261B" w:rsidRPr="008D7590">
        <w:t>cumulative economic losses of USD 22,874,517. This translates to an annual average price loss of USD 1,524,968 over the period</w:t>
      </w:r>
      <w:r w:rsidR="004F6977" w:rsidRPr="008D7590">
        <w:t xml:space="preserve">. </w:t>
      </w:r>
      <w:r w:rsidR="00116106" w:rsidRPr="008D7590">
        <w:t xml:space="preserve">Price losses from rejected groundnuts due to aflatoxin contamination </w:t>
      </w:r>
      <w:r w:rsidR="001B261B" w:rsidRPr="008D7590">
        <w:t xml:space="preserve">amount to USD </w:t>
      </w:r>
      <w:r w:rsidR="008D7590" w:rsidRPr="008D7590">
        <w:t>251,418</w:t>
      </w:r>
      <w:r w:rsidR="001313C5" w:rsidRPr="008D7590">
        <w:rPr>
          <w:color w:val="FF0000"/>
        </w:rPr>
        <w:t>.</w:t>
      </w:r>
      <w:r w:rsidR="00E80884" w:rsidRPr="008D7590">
        <w:t xml:space="preserve"> </w:t>
      </w:r>
    </w:p>
    <w:p w14:paraId="549888A0" w14:textId="29F63067" w:rsidR="00BC1F61" w:rsidRPr="008D7590" w:rsidRDefault="00974CB9" w:rsidP="00BC1F61">
      <w:pPr>
        <w:spacing w:line="360" w:lineRule="auto"/>
        <w:ind w:left="-6" w:hanging="11"/>
        <w:jc w:val="both"/>
        <w:rPr>
          <w:lang w:eastAsia="ja-JP"/>
        </w:rPr>
      </w:pPr>
      <w:r w:rsidRPr="008D7590">
        <w:t xml:space="preserve">The economic impact assessment however show </w:t>
      </w:r>
      <w:r w:rsidR="00FC57FB" w:rsidRPr="008D7590">
        <w:t xml:space="preserve"> that the most significant impact is on </w:t>
      </w:r>
      <w:r w:rsidR="00073758" w:rsidRPr="008D7590">
        <w:t xml:space="preserve">human </w:t>
      </w:r>
      <w:r w:rsidR="00FC57FB" w:rsidRPr="008D7590">
        <w:t xml:space="preserve">health. </w:t>
      </w:r>
      <w:r w:rsidR="00BC1F61" w:rsidRPr="008D7590">
        <w:rPr>
          <w:lang w:eastAsia="ja-JP"/>
        </w:rPr>
        <w:t>The estimate</w:t>
      </w:r>
      <w:r w:rsidR="00BC1F61" w:rsidRPr="008D7590">
        <w:t xml:space="preserve"> of economic</w:t>
      </w:r>
      <w:r w:rsidR="00BC1F61" w:rsidRPr="008D7590">
        <w:rPr>
          <w:lang w:eastAsia="ja-JP"/>
        </w:rPr>
        <w:t xml:space="preserve"> and epidemiologic (illness)</w:t>
      </w:r>
      <w:r w:rsidR="00BC1F61" w:rsidRPr="008D7590">
        <w:t xml:space="preserve"> impact show that from a </w:t>
      </w:r>
      <w:r w:rsidR="00BC1F61" w:rsidRPr="008D7590">
        <w:rPr>
          <w:lang w:eastAsia="ja-JP"/>
        </w:rPr>
        <w:t>median of</w:t>
      </w:r>
      <w:r w:rsidR="00BC1F61" w:rsidRPr="008D7590">
        <w:rPr>
          <w:color w:val="FF0000"/>
        </w:rPr>
        <w:t xml:space="preserve"> </w:t>
      </w:r>
      <w:r w:rsidR="009A09A0" w:rsidRPr="008D7590">
        <w:rPr>
          <w:color w:val="000000" w:themeColor="text1"/>
        </w:rPr>
        <w:t>79,592</w:t>
      </w:r>
      <w:r w:rsidR="00BC1F61" w:rsidRPr="008D7590">
        <w:rPr>
          <w:color w:val="000000" w:themeColor="text1"/>
        </w:rPr>
        <w:t xml:space="preserve"> positive chronic Hepatitis B cases, </w:t>
      </w:r>
      <w:r w:rsidR="009A09A0" w:rsidRPr="008D7590">
        <w:rPr>
          <w:color w:val="000000" w:themeColor="text1"/>
        </w:rPr>
        <w:t>2,575</w:t>
      </w:r>
      <w:r w:rsidR="00BC1F61" w:rsidRPr="008D7590">
        <w:rPr>
          <w:color w:val="000000" w:themeColor="text1"/>
        </w:rPr>
        <w:t xml:space="preserve"> will develop HCC with a total monetized DALY worth U</w:t>
      </w:r>
      <w:r w:rsidR="00BC1F61" w:rsidRPr="008D7590">
        <w:t xml:space="preserve">SD </w:t>
      </w:r>
      <w:r w:rsidR="009A09A0" w:rsidRPr="008D7590">
        <w:rPr>
          <w:bCs/>
        </w:rPr>
        <w:t>94,383,398</w:t>
      </w:r>
      <w:r w:rsidR="00BC1F61" w:rsidRPr="008D7590">
        <w:t xml:space="preserve"> of GDP. The estimated economic loss obtained from this analysis is the amount of money that would be saved if efforts are made to reduce aflatoxin exposures.</w:t>
      </w:r>
    </w:p>
    <w:p w14:paraId="2CFC3986" w14:textId="77777777" w:rsidR="00E35592" w:rsidRPr="008D7590" w:rsidRDefault="00E35592" w:rsidP="000C3EE7">
      <w:pPr>
        <w:spacing w:after="0" w:line="360" w:lineRule="auto"/>
        <w:ind w:left="0" w:firstLine="0"/>
        <w:jc w:val="both"/>
      </w:pPr>
    </w:p>
    <w:p w14:paraId="65F8EECD" w14:textId="172E99B3" w:rsidR="00860FE3" w:rsidRDefault="00E804AE" w:rsidP="002F3D85">
      <w:pPr>
        <w:spacing w:after="0" w:line="360" w:lineRule="auto"/>
        <w:ind w:left="0" w:firstLine="0"/>
        <w:jc w:val="both"/>
      </w:pPr>
      <w:r w:rsidRPr="008D7590">
        <w:rPr>
          <w:color w:val="auto"/>
        </w:rPr>
        <w:lastRenderedPageBreak/>
        <w:t>Given these huge economic losses revealed by the analysis serious attention needs to be accorded to the mitigation of the aflatoxin contamination to reduce the risks it poses to agriculture and food security, trade, human and animal health and the consequential impact on the country’s economy.</w:t>
      </w:r>
      <w:r w:rsidR="00CC689E" w:rsidRPr="008D7590">
        <w:t xml:space="preserve"> </w:t>
      </w:r>
      <w:r w:rsidR="00994557" w:rsidRPr="008D7590">
        <w:t>The urgency,</w:t>
      </w:r>
      <w:r w:rsidRPr="008D7590">
        <w:t xml:space="preserve"> therefore to </w:t>
      </w:r>
      <w:r w:rsidR="00994557" w:rsidRPr="008D7590">
        <w:t>mainstream aflatoxin</w:t>
      </w:r>
      <w:r w:rsidRPr="008D7590">
        <w:t xml:space="preserve"> </w:t>
      </w:r>
      <w:r w:rsidR="00994557" w:rsidRPr="008D7590">
        <w:t xml:space="preserve">mitigation </w:t>
      </w:r>
      <w:r w:rsidRPr="008D7590">
        <w:t xml:space="preserve">in national policies and programmes, including the </w:t>
      </w:r>
      <w:r w:rsidR="00994557" w:rsidRPr="008D7590">
        <w:t xml:space="preserve">GNAIP cannot be </w:t>
      </w:r>
      <w:r w:rsidR="00994557">
        <w:t>over-emphasized.</w:t>
      </w:r>
      <w:r w:rsidR="00935E55">
        <w:t xml:space="preserve"> </w:t>
      </w:r>
    </w:p>
    <w:p w14:paraId="7D8C997A" w14:textId="77777777" w:rsidR="00412CF6" w:rsidRDefault="00412CF6" w:rsidP="002F3D85">
      <w:pPr>
        <w:spacing w:after="0" w:line="360" w:lineRule="auto"/>
        <w:ind w:left="0" w:firstLine="0"/>
        <w:jc w:val="both"/>
      </w:pPr>
    </w:p>
    <w:p w14:paraId="0536DF20" w14:textId="77777777" w:rsidR="007710B3" w:rsidRDefault="007710B3" w:rsidP="002F3D85">
      <w:pPr>
        <w:spacing w:after="0" w:line="360" w:lineRule="auto"/>
        <w:ind w:left="0" w:firstLine="0"/>
        <w:jc w:val="both"/>
      </w:pPr>
    </w:p>
    <w:p w14:paraId="251A89F8" w14:textId="77777777" w:rsidR="007710B3" w:rsidRDefault="007710B3" w:rsidP="002F3D85">
      <w:pPr>
        <w:spacing w:after="0" w:line="360" w:lineRule="auto"/>
        <w:ind w:left="0" w:firstLine="0"/>
        <w:jc w:val="both"/>
      </w:pPr>
    </w:p>
    <w:p w14:paraId="062BC38B" w14:textId="77777777" w:rsidR="007710B3" w:rsidRDefault="007710B3" w:rsidP="002F3D85">
      <w:pPr>
        <w:spacing w:after="0" w:line="360" w:lineRule="auto"/>
        <w:ind w:left="0" w:firstLine="0"/>
        <w:jc w:val="both"/>
      </w:pPr>
    </w:p>
    <w:p w14:paraId="57F953CE" w14:textId="77777777" w:rsidR="007710B3" w:rsidRDefault="007710B3" w:rsidP="002F3D85">
      <w:pPr>
        <w:spacing w:after="0" w:line="360" w:lineRule="auto"/>
        <w:ind w:left="0" w:firstLine="0"/>
        <w:jc w:val="both"/>
      </w:pPr>
    </w:p>
    <w:p w14:paraId="1310FB67" w14:textId="77777777" w:rsidR="007710B3" w:rsidRDefault="007710B3" w:rsidP="002F3D85">
      <w:pPr>
        <w:spacing w:after="0" w:line="360" w:lineRule="auto"/>
        <w:ind w:left="0" w:firstLine="0"/>
        <w:jc w:val="both"/>
      </w:pPr>
    </w:p>
    <w:p w14:paraId="0D8951AC" w14:textId="77777777" w:rsidR="007710B3" w:rsidRDefault="007710B3" w:rsidP="002F3D85">
      <w:pPr>
        <w:spacing w:after="0" w:line="360" w:lineRule="auto"/>
        <w:ind w:left="0" w:firstLine="0"/>
        <w:jc w:val="both"/>
      </w:pPr>
    </w:p>
    <w:p w14:paraId="680EF040" w14:textId="77777777" w:rsidR="007710B3" w:rsidRDefault="007710B3" w:rsidP="002F3D85">
      <w:pPr>
        <w:spacing w:after="0" w:line="360" w:lineRule="auto"/>
        <w:ind w:left="0" w:firstLine="0"/>
        <w:jc w:val="both"/>
      </w:pPr>
    </w:p>
    <w:p w14:paraId="2023AD01" w14:textId="77777777" w:rsidR="007710B3" w:rsidRDefault="007710B3" w:rsidP="002F3D85">
      <w:pPr>
        <w:spacing w:after="0" w:line="360" w:lineRule="auto"/>
        <w:ind w:left="0" w:firstLine="0"/>
        <w:jc w:val="both"/>
      </w:pPr>
    </w:p>
    <w:p w14:paraId="13B0CC78" w14:textId="77777777" w:rsidR="007710B3" w:rsidRDefault="007710B3" w:rsidP="002F3D85">
      <w:pPr>
        <w:spacing w:after="0" w:line="360" w:lineRule="auto"/>
        <w:ind w:left="0" w:firstLine="0"/>
        <w:jc w:val="both"/>
      </w:pPr>
    </w:p>
    <w:p w14:paraId="00A0C78D" w14:textId="77777777" w:rsidR="007710B3" w:rsidRDefault="007710B3" w:rsidP="002F3D85">
      <w:pPr>
        <w:spacing w:after="0" w:line="360" w:lineRule="auto"/>
        <w:ind w:left="0" w:firstLine="0"/>
        <w:jc w:val="both"/>
      </w:pPr>
    </w:p>
    <w:p w14:paraId="3314294A" w14:textId="77777777" w:rsidR="007710B3" w:rsidRDefault="007710B3" w:rsidP="002F3D85">
      <w:pPr>
        <w:spacing w:after="0" w:line="360" w:lineRule="auto"/>
        <w:ind w:left="0" w:firstLine="0"/>
        <w:jc w:val="both"/>
      </w:pPr>
    </w:p>
    <w:p w14:paraId="2780D726" w14:textId="77777777" w:rsidR="007710B3" w:rsidRDefault="007710B3" w:rsidP="002F3D85">
      <w:pPr>
        <w:spacing w:after="0" w:line="360" w:lineRule="auto"/>
        <w:ind w:left="0" w:firstLine="0"/>
        <w:jc w:val="both"/>
      </w:pPr>
    </w:p>
    <w:p w14:paraId="14CA94ED" w14:textId="77777777" w:rsidR="007710B3" w:rsidRDefault="007710B3" w:rsidP="002F3D85">
      <w:pPr>
        <w:spacing w:after="0" w:line="360" w:lineRule="auto"/>
        <w:ind w:left="0" w:firstLine="0"/>
        <w:jc w:val="both"/>
      </w:pPr>
    </w:p>
    <w:p w14:paraId="3AC00833" w14:textId="77777777" w:rsidR="007710B3" w:rsidRDefault="007710B3" w:rsidP="002F3D85">
      <w:pPr>
        <w:spacing w:after="0" w:line="360" w:lineRule="auto"/>
        <w:ind w:left="0" w:firstLine="0"/>
        <w:jc w:val="both"/>
      </w:pPr>
    </w:p>
    <w:p w14:paraId="74076248" w14:textId="77777777" w:rsidR="007710B3" w:rsidRDefault="007710B3" w:rsidP="002F3D85">
      <w:pPr>
        <w:spacing w:after="0" w:line="360" w:lineRule="auto"/>
        <w:ind w:left="0" w:firstLine="0"/>
        <w:jc w:val="both"/>
      </w:pPr>
    </w:p>
    <w:p w14:paraId="5A524CE8" w14:textId="77777777" w:rsidR="007710B3" w:rsidRDefault="007710B3" w:rsidP="002F3D85">
      <w:pPr>
        <w:spacing w:after="0" w:line="360" w:lineRule="auto"/>
        <w:ind w:left="0" w:firstLine="0"/>
        <w:jc w:val="both"/>
      </w:pPr>
    </w:p>
    <w:p w14:paraId="225D3793" w14:textId="77777777" w:rsidR="007710B3" w:rsidRDefault="007710B3" w:rsidP="002F3D85">
      <w:pPr>
        <w:spacing w:after="0" w:line="360" w:lineRule="auto"/>
        <w:ind w:left="0" w:firstLine="0"/>
        <w:jc w:val="both"/>
      </w:pPr>
    </w:p>
    <w:p w14:paraId="6D29CD54" w14:textId="77777777" w:rsidR="007710B3" w:rsidRDefault="007710B3" w:rsidP="002F3D85">
      <w:pPr>
        <w:spacing w:after="0" w:line="360" w:lineRule="auto"/>
        <w:ind w:left="0" w:firstLine="0"/>
        <w:jc w:val="both"/>
      </w:pPr>
    </w:p>
    <w:p w14:paraId="77B701EE" w14:textId="77777777" w:rsidR="007710B3" w:rsidRDefault="007710B3" w:rsidP="002F3D85">
      <w:pPr>
        <w:spacing w:after="0" w:line="360" w:lineRule="auto"/>
        <w:ind w:left="0" w:firstLine="0"/>
        <w:jc w:val="both"/>
      </w:pPr>
    </w:p>
    <w:p w14:paraId="42D1EF63" w14:textId="77777777" w:rsidR="007710B3" w:rsidRDefault="007710B3" w:rsidP="002F3D85">
      <w:pPr>
        <w:spacing w:after="0" w:line="360" w:lineRule="auto"/>
        <w:ind w:left="0" w:firstLine="0"/>
        <w:jc w:val="both"/>
      </w:pPr>
    </w:p>
    <w:p w14:paraId="0AD98069" w14:textId="77777777" w:rsidR="007710B3" w:rsidRDefault="007710B3" w:rsidP="002F3D85">
      <w:pPr>
        <w:spacing w:after="0" w:line="360" w:lineRule="auto"/>
        <w:ind w:left="0" w:firstLine="0"/>
        <w:jc w:val="both"/>
      </w:pPr>
    </w:p>
    <w:p w14:paraId="551FEEA5" w14:textId="77777777" w:rsidR="007710B3" w:rsidRDefault="007710B3" w:rsidP="002F3D85">
      <w:pPr>
        <w:spacing w:after="0" w:line="360" w:lineRule="auto"/>
        <w:ind w:left="0" w:firstLine="0"/>
        <w:jc w:val="both"/>
      </w:pPr>
    </w:p>
    <w:p w14:paraId="45131A1D" w14:textId="77777777" w:rsidR="007710B3" w:rsidRDefault="007710B3" w:rsidP="002F3D85">
      <w:pPr>
        <w:spacing w:after="0" w:line="360" w:lineRule="auto"/>
        <w:ind w:left="0" w:firstLine="0"/>
        <w:jc w:val="both"/>
      </w:pPr>
    </w:p>
    <w:p w14:paraId="4E04F8B5" w14:textId="77777777" w:rsidR="007710B3" w:rsidRDefault="007710B3" w:rsidP="002F3D85">
      <w:pPr>
        <w:spacing w:after="0" w:line="360" w:lineRule="auto"/>
        <w:ind w:left="0" w:firstLine="0"/>
        <w:jc w:val="both"/>
      </w:pPr>
    </w:p>
    <w:p w14:paraId="2FC6296C" w14:textId="77777777" w:rsidR="007710B3" w:rsidRPr="00860FE3" w:rsidRDefault="007710B3" w:rsidP="002F3D85">
      <w:pPr>
        <w:spacing w:after="0" w:line="360" w:lineRule="auto"/>
        <w:ind w:left="0" w:firstLine="0"/>
        <w:jc w:val="both"/>
      </w:pPr>
    </w:p>
    <w:p w14:paraId="40BF5881" w14:textId="5FD1762F" w:rsidR="00F9563D" w:rsidRPr="00233006" w:rsidRDefault="00A2765D" w:rsidP="00A2765D">
      <w:pPr>
        <w:pStyle w:val="Heading1"/>
      </w:pPr>
      <w:bookmarkStart w:id="61" w:name="_Toc427672790"/>
      <w:r>
        <w:lastRenderedPageBreak/>
        <w:t>12</w:t>
      </w:r>
      <w:r w:rsidR="00F9563D" w:rsidRPr="00233006">
        <w:t>.0 References</w:t>
      </w:r>
      <w:bookmarkEnd w:id="61"/>
      <w:r w:rsidR="00F9563D" w:rsidRPr="00233006">
        <w:t xml:space="preserve"> </w:t>
      </w:r>
    </w:p>
    <w:p w14:paraId="554ACE36" w14:textId="77777777" w:rsidR="000B1AE6" w:rsidRPr="004B4C2E" w:rsidRDefault="000B1AE6" w:rsidP="00A577D1">
      <w:pPr>
        <w:spacing w:before="240" w:line="360" w:lineRule="auto"/>
        <w:jc w:val="both"/>
      </w:pPr>
      <w:r w:rsidRPr="004B4C2E">
        <w:rPr>
          <w:rFonts w:eastAsia="Arial"/>
        </w:rPr>
        <w:t>BANKOLE</w:t>
      </w:r>
      <w:r>
        <w:rPr>
          <w:rFonts w:eastAsia="Arial"/>
        </w:rPr>
        <w:t xml:space="preserve"> S.A</w:t>
      </w:r>
      <w:r w:rsidRPr="004B4C2E">
        <w:rPr>
          <w:rFonts w:eastAsia="Arial"/>
        </w:rPr>
        <w:t xml:space="preserve"> and ADEBANJO</w:t>
      </w:r>
      <w:r>
        <w:rPr>
          <w:rFonts w:eastAsia="Arial"/>
        </w:rPr>
        <w:t xml:space="preserve"> A</w:t>
      </w:r>
      <w:r w:rsidRPr="004B4C2E">
        <w:rPr>
          <w:rFonts w:eastAsia="Arial"/>
        </w:rPr>
        <w:t>.</w:t>
      </w:r>
      <w:r>
        <w:rPr>
          <w:rFonts w:eastAsia="Arial"/>
        </w:rPr>
        <w:t xml:space="preserve"> 2003</w:t>
      </w:r>
      <w:r w:rsidRPr="004B4C2E">
        <w:rPr>
          <w:rFonts w:eastAsia="Arial"/>
        </w:rPr>
        <w:t xml:space="preserve"> Mycotoxins in food in West Africa: current situation and possibilities of controlling it. </w:t>
      </w:r>
      <w:r w:rsidRPr="004B4C2E">
        <w:t>African Journal of Biotechnology Vol. 2 (9), pp. 254-263</w:t>
      </w:r>
      <w:r>
        <w:t>.</w:t>
      </w:r>
      <w:r w:rsidRPr="004B4C2E">
        <w:t xml:space="preserve"> Available online at </w:t>
      </w:r>
      <w:hyperlink r:id="rId27" w:history="1">
        <w:r w:rsidRPr="004B4C2E">
          <w:rPr>
            <w:rStyle w:val="Hyperlink"/>
          </w:rPr>
          <w:t>http://www.academicjournals.org/AJB</w:t>
        </w:r>
      </w:hyperlink>
      <w:r w:rsidRPr="004B4C2E">
        <w:t xml:space="preserve"> ISSN 1684–5315  © 2003 Academic Journals. </w:t>
      </w:r>
    </w:p>
    <w:p w14:paraId="3E6A429D" w14:textId="4F508607" w:rsidR="00EE1327" w:rsidRDefault="00F9563D" w:rsidP="002B2C64">
      <w:pPr>
        <w:spacing w:after="14" w:line="360" w:lineRule="auto"/>
        <w:ind w:right="-15"/>
        <w:jc w:val="both"/>
      </w:pPr>
      <w:r w:rsidRPr="004B4C2E">
        <w:t xml:space="preserve">Danya International Inc. USAID. </w:t>
      </w:r>
      <w:r w:rsidR="00622B37" w:rsidRPr="004B4C2E">
        <w:t>Aflatoxin</w:t>
      </w:r>
      <w:r w:rsidRPr="004B4C2E">
        <w:t xml:space="preserve"> a synthesis of the research in health, agriculture and trade. </w:t>
      </w:r>
    </w:p>
    <w:p w14:paraId="36637C79" w14:textId="77777777" w:rsidR="009B368F" w:rsidRDefault="009B368F" w:rsidP="002B2C64">
      <w:pPr>
        <w:spacing w:after="14" w:line="360" w:lineRule="auto"/>
        <w:ind w:right="-15"/>
        <w:jc w:val="both"/>
      </w:pPr>
    </w:p>
    <w:p w14:paraId="57E8FE20" w14:textId="3302FECF" w:rsidR="008B5131" w:rsidRPr="004B4C2E" w:rsidRDefault="008B5131" w:rsidP="002B2C64">
      <w:pPr>
        <w:spacing w:after="14" w:line="360" w:lineRule="auto"/>
        <w:ind w:right="-15"/>
        <w:jc w:val="both"/>
      </w:pPr>
      <w:r>
        <w:t>Darboe Evaluation of groundnuts (</w:t>
      </w:r>
      <w:r w:rsidR="00EE1327">
        <w:t>201</w:t>
      </w:r>
      <w:r>
        <w:t>0</w:t>
      </w:r>
      <w:r w:rsidR="00EE1327">
        <w:t>)</w:t>
      </w:r>
      <w:r>
        <w:t xml:space="preserve"> varieties for resistance to tolerance against </w:t>
      </w:r>
      <w:r w:rsidR="00EE1327">
        <w:t>Aspergillus</w:t>
      </w:r>
      <w:r>
        <w:t xml:space="preserve"> flavus infection and aflatoxin contamination. Thesis. </w:t>
      </w:r>
    </w:p>
    <w:p w14:paraId="3344F5F2" w14:textId="4FD0FF9E" w:rsidR="00F9563D" w:rsidRDefault="00F9563D" w:rsidP="00A577D1">
      <w:pPr>
        <w:spacing w:before="240" w:line="360" w:lineRule="auto"/>
        <w:jc w:val="both"/>
      </w:pPr>
      <w:r w:rsidRPr="004B4C2E">
        <w:t>Diedhiou, Papa Madiallacke, Bandyopadhyay</w:t>
      </w:r>
      <w:r w:rsidR="000B1AE6">
        <w:t xml:space="preserve"> </w:t>
      </w:r>
      <w:r w:rsidR="000B1AE6" w:rsidRPr="004B4C2E">
        <w:t>Ranajit</w:t>
      </w:r>
      <w:r>
        <w:t>,</w:t>
      </w:r>
      <w:r w:rsidRPr="004B4C2E">
        <w:t xml:space="preserve"> Atehnkeng</w:t>
      </w:r>
      <w:r w:rsidR="000B1AE6">
        <w:t xml:space="preserve"> </w:t>
      </w:r>
      <w:r w:rsidR="000B1AE6" w:rsidRPr="004B4C2E">
        <w:t>Joseph</w:t>
      </w:r>
      <w:r>
        <w:t>,</w:t>
      </w:r>
      <w:r w:rsidRPr="004B4C2E">
        <w:t xml:space="preserve"> and Ojiambo </w:t>
      </w:r>
      <w:r w:rsidR="00F210A9" w:rsidRPr="004B4C2E">
        <w:t>Peter S.</w:t>
      </w:r>
      <w:r w:rsidR="00F210A9" w:rsidRPr="00F210A9">
        <w:t xml:space="preserve"> </w:t>
      </w:r>
      <w:r w:rsidR="00F210A9" w:rsidRPr="004B4C2E">
        <w:t>Peter S.</w:t>
      </w:r>
      <w:r w:rsidR="00F210A9">
        <w:t xml:space="preserve"> </w:t>
      </w:r>
      <w:r w:rsidRPr="004B4C2E">
        <w:t>2010</w:t>
      </w:r>
      <w:r>
        <w:t xml:space="preserve">. </w:t>
      </w:r>
      <w:r w:rsidRPr="004B4C2E">
        <w:t>Aspergillus Colonization and Aﬂatoxin Contamination of Maize and Sesame Kernels in Two Agro-ecological Zones in Senegal</w:t>
      </w:r>
    </w:p>
    <w:p w14:paraId="3913D377" w14:textId="76C71317" w:rsidR="00977999" w:rsidRPr="004B4C2E" w:rsidRDefault="00977999" w:rsidP="00A577D1">
      <w:pPr>
        <w:spacing w:before="240" w:line="360" w:lineRule="auto"/>
        <w:jc w:val="both"/>
      </w:pPr>
      <w:r>
        <w:t>ECORYS and Scanagri. 2009. Groundnut quality assurance framework report  – The Gambia.</w:t>
      </w:r>
    </w:p>
    <w:p w14:paraId="0BA52631" w14:textId="14F6165B" w:rsidR="00C17507" w:rsidRDefault="00F9563D" w:rsidP="002B2C64">
      <w:pPr>
        <w:spacing w:before="240" w:line="360" w:lineRule="auto"/>
        <w:jc w:val="both"/>
      </w:pPr>
      <w:r w:rsidRPr="004B4C2E">
        <w:t>Fatemeh Zaboli, Ali Reza Khosrayi, Issa Gholampourazizi, Mehdi Norouzi and Ahmad Erfanmaneshi. A Study of Aflatoxins production in Rice Bran from Mazandran Province, Northern Iran</w:t>
      </w:r>
      <w:r w:rsidRPr="004B4C2E">
        <w:tab/>
        <w:t>Global Veterinaria 5 (1): 39-44, 2010. ISSN 1992-6197. © IDOSI Publications, 2010.</w:t>
      </w:r>
    </w:p>
    <w:p w14:paraId="580A9B55" w14:textId="77777777" w:rsidR="00C17507" w:rsidRPr="004B4C2E" w:rsidRDefault="00C17507" w:rsidP="00C17507">
      <w:pPr>
        <w:spacing w:before="240" w:line="360" w:lineRule="auto"/>
        <w:jc w:val="both"/>
      </w:pPr>
      <w:r w:rsidRPr="004B4C2E">
        <w:t>Francesco, Whittle</w:t>
      </w:r>
      <w:r>
        <w:t xml:space="preserve"> </w:t>
      </w:r>
      <w:r w:rsidRPr="004B4C2E">
        <w:t>Hilton C., Hall</w:t>
      </w:r>
      <w:r>
        <w:t xml:space="preserve"> </w:t>
      </w:r>
      <w:r w:rsidRPr="004B4C2E">
        <w:t>Andrew J., Wolf</w:t>
      </w:r>
      <w:r>
        <w:t xml:space="preserve"> </w:t>
      </w:r>
      <w:r w:rsidRPr="004B4C2E">
        <w:t xml:space="preserve">C. </w:t>
      </w:r>
      <w:r>
        <w:t>R</w:t>
      </w:r>
      <w:r w:rsidRPr="004B4C2E">
        <w:t xml:space="preserve">onald, and Ruggero. Aflatoxins, Liver Enzemes, and Hepatitis B Virus Infection in Gambian Children. Cancer Epedemiology Biomarker and Prevention. Vol. 2. 555-561 November/December 1993. </w:t>
      </w:r>
    </w:p>
    <w:p w14:paraId="3FE50A26" w14:textId="77777777" w:rsidR="009B368F" w:rsidRDefault="009B368F" w:rsidP="002B2C64">
      <w:pPr>
        <w:spacing w:before="240" w:line="360" w:lineRule="auto"/>
        <w:jc w:val="both"/>
      </w:pPr>
      <w:r>
        <w:t>Gambia National Cancer Registry, International Agency for Research on Cancer and Hepatitis Unit, MRC Unit, The Gambia. Cancer Incidence in The Gambia. Annual Report, 2013.</w:t>
      </w:r>
    </w:p>
    <w:p w14:paraId="667AB37D" w14:textId="3FC45BA7" w:rsidR="00F9563D" w:rsidRPr="004B4C2E" w:rsidRDefault="00F9563D">
      <w:pPr>
        <w:spacing w:before="240" w:after="322" w:line="360" w:lineRule="auto"/>
        <w:ind w:right="357"/>
        <w:jc w:val="both"/>
      </w:pPr>
      <w:r w:rsidRPr="004B4C2E">
        <w:t xml:space="preserve">George Marechera and Joseph Ndwiga. Farmer perception of aflatoxin management strategies in lower Eastern Kenya. Journal of Agricultural Extension and Rural Development. </w:t>
      </w:r>
      <w:r w:rsidR="00622B37" w:rsidRPr="004B4C2E">
        <w:t>Vol.6 (</w:t>
      </w:r>
      <w:r w:rsidRPr="004B4C2E">
        <w:t xml:space="preserve">12), pp. 382-392, December, 2014. </w:t>
      </w:r>
      <w:hyperlink r:id="rId28" w:history="1">
        <w:r w:rsidRPr="004B4C2E">
          <w:rPr>
            <w:rStyle w:val="Hyperlink"/>
          </w:rPr>
          <w:t>http://www.academicjournaljournals.org/JAERD</w:t>
        </w:r>
      </w:hyperlink>
      <w:r w:rsidRPr="004B4C2E">
        <w:t>.Government of The Gambia. Integrated Household Survey Income and Expenditure Poverty Assessment - 2010. Gambia Bureau of Statistics. December 2011. Part Two.</w:t>
      </w:r>
    </w:p>
    <w:p w14:paraId="22C239E1" w14:textId="77777777" w:rsidR="00A22280" w:rsidRPr="004B4C2E" w:rsidRDefault="00A22280">
      <w:pPr>
        <w:pStyle w:val="NormalWeb"/>
        <w:spacing w:before="240" w:beforeAutospacing="0" w:after="0" w:afterAutospacing="0" w:line="360" w:lineRule="auto"/>
        <w:jc w:val="both"/>
        <w:rPr>
          <w:sz w:val="22"/>
          <w:szCs w:val="22"/>
        </w:rPr>
      </w:pPr>
      <w:r w:rsidRPr="004B4C2E">
        <w:rPr>
          <w:sz w:val="22"/>
          <w:szCs w:val="22"/>
        </w:rPr>
        <w:t>Harper</w:t>
      </w:r>
      <w:r>
        <w:rPr>
          <w:sz w:val="22"/>
          <w:szCs w:val="22"/>
        </w:rPr>
        <w:t xml:space="preserve"> A. and </w:t>
      </w:r>
      <w:r w:rsidRPr="004B4C2E">
        <w:rPr>
          <w:sz w:val="22"/>
          <w:szCs w:val="22"/>
        </w:rPr>
        <w:t xml:space="preserve"> Zhao</w:t>
      </w:r>
      <w:r>
        <w:rPr>
          <w:sz w:val="22"/>
          <w:szCs w:val="22"/>
        </w:rPr>
        <w:t xml:space="preserve"> J. </w:t>
      </w:r>
      <w:r w:rsidRPr="004B4C2E">
        <w:rPr>
          <w:sz w:val="22"/>
          <w:szCs w:val="22"/>
        </w:rPr>
        <w:t xml:space="preserve">April 2003. </w:t>
      </w:r>
      <w:r w:rsidRPr="004B4C2E">
        <w:rPr>
          <w:bCs/>
          <w:sz w:val="22"/>
          <w:szCs w:val="22"/>
        </w:rPr>
        <w:t xml:space="preserve">Aflatoxin: An Occasional Contaminant of Feed Grains Livestock </w:t>
      </w:r>
    </w:p>
    <w:p w14:paraId="0C44A34C" w14:textId="77777777" w:rsidR="00F9563D" w:rsidRDefault="00F9563D">
      <w:pPr>
        <w:spacing w:before="240" w:after="160" w:line="360" w:lineRule="auto"/>
        <w:jc w:val="both"/>
      </w:pPr>
      <w:r w:rsidRPr="004B4C2E">
        <w:t>Hudson, G.J., Wild, C.P., Zarba, A. and Groopman, J.D. 1992. Aflatoxins isolated by imminoafinity chromatography from food consumed in The Gambia, West Africa. Nat. Toxins. 1: 100 – 105.</w:t>
      </w:r>
    </w:p>
    <w:p w14:paraId="312BAC11" w14:textId="18E392D6" w:rsidR="0025676E" w:rsidRPr="004B4C2E" w:rsidRDefault="0025676E">
      <w:pPr>
        <w:spacing w:before="240" w:after="160" w:line="360" w:lineRule="auto"/>
        <w:jc w:val="both"/>
      </w:pPr>
      <w:r w:rsidRPr="0025676E">
        <w:lastRenderedPageBreak/>
        <w:t>Hwang, Elizabeth W. MD, Cheung, Ramsey MD</w:t>
      </w:r>
      <w:r>
        <w:t xml:space="preserve">. </w:t>
      </w:r>
      <w:r w:rsidRPr="0025676E">
        <w:t>Global Epidemiology of Hepatitis B Virus (HBV) Infection</w:t>
      </w:r>
      <w:r>
        <w:t xml:space="preserve">. </w:t>
      </w:r>
      <w:r w:rsidRPr="0025676E">
        <w:t>Jan 2011 Vol 4 No.1 North American Journal of Medicine and Science</w:t>
      </w:r>
    </w:p>
    <w:p w14:paraId="403948C4" w14:textId="63A59FB4" w:rsidR="00F9563D" w:rsidRDefault="00F9563D" w:rsidP="002B2C64">
      <w:pPr>
        <w:pStyle w:val="Heading2"/>
        <w:spacing w:line="360" w:lineRule="auto"/>
        <w:jc w:val="both"/>
        <w:rPr>
          <w:rFonts w:ascii="Times New Roman" w:hAnsi="Times New Roman" w:cs="Times New Roman"/>
          <w:color w:val="auto"/>
          <w:sz w:val="22"/>
          <w:szCs w:val="22"/>
        </w:rPr>
      </w:pPr>
      <w:bookmarkStart w:id="62" w:name="_Toc419830349"/>
      <w:bookmarkStart w:id="63" w:name="_Toc419912397"/>
      <w:bookmarkStart w:id="64" w:name="_Toc423614288"/>
      <w:bookmarkStart w:id="65" w:name="_Toc427672791"/>
      <w:r w:rsidRPr="004B4C2E">
        <w:rPr>
          <w:rFonts w:ascii="Times New Roman" w:eastAsia="Cambria" w:hAnsi="Times New Roman" w:cs="Times New Roman"/>
          <w:color w:val="auto"/>
          <w:sz w:val="22"/>
          <w:szCs w:val="22"/>
        </w:rPr>
        <w:t xml:space="preserve">International Agency for Research on Cancer. World Health Organization. Scientific Council </w:t>
      </w:r>
      <w:r w:rsidRPr="004B4C2E">
        <w:rPr>
          <w:rFonts w:ascii="Times New Roman" w:hAnsi="Times New Roman" w:cs="Times New Roman"/>
          <w:color w:val="auto"/>
          <w:sz w:val="22"/>
          <w:szCs w:val="22"/>
        </w:rPr>
        <w:t xml:space="preserve">SC/51/7 Fifty-first Session </w:t>
      </w:r>
      <w:r w:rsidRPr="004B4C2E">
        <w:rPr>
          <w:rFonts w:ascii="Times New Roman" w:hAnsi="Times New Roman" w:cs="Times New Roman"/>
          <w:color w:val="auto"/>
          <w:sz w:val="22"/>
          <w:szCs w:val="22"/>
        </w:rPr>
        <w:tab/>
        <w:t>19/12/</w:t>
      </w:r>
      <w:r w:rsidR="00622B37" w:rsidRPr="004B4C2E">
        <w:rPr>
          <w:rFonts w:ascii="Times New Roman" w:hAnsi="Times New Roman" w:cs="Times New Roman"/>
          <w:color w:val="auto"/>
          <w:sz w:val="22"/>
          <w:szCs w:val="22"/>
        </w:rPr>
        <w:t>2014 Lyon</w:t>
      </w:r>
      <w:r w:rsidRPr="004B4C2E">
        <w:rPr>
          <w:rFonts w:ascii="Times New Roman" w:hAnsi="Times New Roman" w:cs="Times New Roman"/>
          <w:color w:val="auto"/>
          <w:sz w:val="22"/>
          <w:szCs w:val="22"/>
        </w:rPr>
        <w:t>, 28–30 January 2015</w:t>
      </w:r>
      <w:bookmarkEnd w:id="62"/>
      <w:bookmarkEnd w:id="63"/>
      <w:bookmarkEnd w:id="64"/>
      <w:bookmarkEnd w:id="65"/>
      <w:r w:rsidRPr="004B4C2E">
        <w:rPr>
          <w:rFonts w:ascii="Times New Roman" w:hAnsi="Times New Roman" w:cs="Times New Roman"/>
          <w:color w:val="auto"/>
          <w:sz w:val="22"/>
          <w:szCs w:val="22"/>
        </w:rPr>
        <w:t xml:space="preserve"> </w:t>
      </w:r>
    </w:p>
    <w:p w14:paraId="0A847CCE" w14:textId="77777777" w:rsidR="00C17507" w:rsidRDefault="00C17507" w:rsidP="00C17507">
      <w:pPr>
        <w:jc w:val="both"/>
      </w:pPr>
      <w:r>
        <w:t xml:space="preserve">Laura E. Smith, Rebecca J. Stoltzfus, and Andrew Prendergast. </w:t>
      </w:r>
      <w:r w:rsidRPr="00DA6E11">
        <w:t>2012</w:t>
      </w:r>
      <w:r>
        <w:t xml:space="preserve">. Food Chain Mycotoxin Exposure, Gut Health, and Impaired Growth: A Conceptual Framework. </w:t>
      </w:r>
      <w:r w:rsidRPr="00DA6E11">
        <w:t>American Society for Nutrition. Adv. Nutr. 3: 526–531, 2012; doi:10.3945/an.112.002188.</w:t>
      </w:r>
    </w:p>
    <w:p w14:paraId="70A95CD8" w14:textId="0BAA294B" w:rsidR="00F9563D" w:rsidRDefault="00F9563D" w:rsidP="00A577D1">
      <w:pPr>
        <w:spacing w:before="240" w:line="360" w:lineRule="auto"/>
        <w:ind w:right="357"/>
        <w:jc w:val="both"/>
      </w:pPr>
      <w:r w:rsidRPr="004B4C2E">
        <w:t xml:space="preserve">Makun Hussaini Anthony, Apeh Daniel Ojochenemi, Adeyemi Henry Rinde Yemi, Nagago Tahir, Okeke Johnbosco Okechukwu, Mustapha Amina Saidu and Oyinloye Bukunmi Ayobami. 2014. Determination of Aflatoxins in Sesame, Rice, Millet and Acha from Nigeria using HPLC. Research Article. </w:t>
      </w:r>
      <w:hyperlink w:history="1">
        <w:r w:rsidRPr="004B4C2E">
          <w:rPr>
            <w:rStyle w:val="Hyperlink"/>
          </w:rPr>
          <w:t>http://www.e journals.in</w:t>
        </w:r>
      </w:hyperlink>
      <w:r w:rsidRPr="004B4C2E">
        <w:rPr>
          <w:rStyle w:val="Hyperlink"/>
        </w:rPr>
        <w:t xml:space="preserve"> </w:t>
      </w:r>
      <w:r w:rsidRPr="004B4C2E">
        <w:t>DOI:10.7598/</w:t>
      </w:r>
      <w:r w:rsidR="00622B37" w:rsidRPr="004B4C2E">
        <w:t>cst2014.749 2014</w:t>
      </w:r>
      <w:r w:rsidRPr="004B4C2E">
        <w:t xml:space="preserve">, 3(4), 1516-1524. </w:t>
      </w:r>
    </w:p>
    <w:p w14:paraId="62667799" w14:textId="77777777" w:rsidR="00C17507" w:rsidRDefault="00C17507" w:rsidP="00C17507">
      <w:pPr>
        <w:jc w:val="both"/>
      </w:pPr>
      <w:r w:rsidRPr="004B4C2E">
        <w:rPr>
          <w:rFonts w:eastAsia="Cambria"/>
        </w:rPr>
        <w:t>Masters</w:t>
      </w:r>
      <w:r>
        <w:rPr>
          <w:rFonts w:eastAsia="Cambria"/>
        </w:rPr>
        <w:t xml:space="preserve"> W.A.</w:t>
      </w:r>
      <w:r w:rsidRPr="004B4C2E">
        <w:rPr>
          <w:rFonts w:eastAsia="Cambria"/>
        </w:rPr>
        <w:t xml:space="preserve"> and Ghosh</w:t>
      </w:r>
      <w:r>
        <w:rPr>
          <w:rFonts w:eastAsia="Cambria"/>
        </w:rPr>
        <w:t xml:space="preserve"> </w:t>
      </w:r>
      <w:r w:rsidRPr="004B4C2E">
        <w:rPr>
          <w:rFonts w:eastAsia="Cambria"/>
        </w:rPr>
        <w:t>Shibani</w:t>
      </w:r>
      <w:r>
        <w:rPr>
          <w:rFonts w:eastAsia="Cambria"/>
        </w:rPr>
        <w:t xml:space="preserve">. </w:t>
      </w:r>
      <w:r w:rsidRPr="004B4C2E">
        <w:t>September 2013</w:t>
      </w:r>
      <w:r>
        <w:t>.</w:t>
      </w:r>
      <w:r w:rsidRPr="004B4C2E">
        <w:rPr>
          <w:rFonts w:eastAsia="Cambria"/>
        </w:rPr>
        <w:t xml:space="preserve"> Comprehensive assessment of the peanut value chain for nutrition improvement in Ghana. </w:t>
      </w:r>
      <w:r w:rsidRPr="004B4C2E">
        <w:t>Final Report</w:t>
      </w:r>
      <w:r>
        <w:t>.</w:t>
      </w:r>
      <w:r w:rsidRPr="004B4C2E">
        <w:t xml:space="preserve"> </w:t>
      </w:r>
    </w:p>
    <w:p w14:paraId="5644B3C8" w14:textId="77777777" w:rsidR="00F9563D" w:rsidRPr="004B4C2E" w:rsidRDefault="00F9563D" w:rsidP="00A577D1">
      <w:pPr>
        <w:spacing w:line="360" w:lineRule="auto"/>
        <w:jc w:val="both"/>
        <w:rPr>
          <w:bCs/>
        </w:rPr>
      </w:pPr>
      <w:r w:rsidRPr="004B4C2E">
        <w:rPr>
          <w:bCs/>
        </w:rPr>
        <w:t xml:space="preserve">National Agricultural Research Institute. Title: Evaluation of Groundnut Varieties for Resistance/Tolerance against </w:t>
      </w:r>
      <w:r w:rsidRPr="004B4C2E">
        <w:rPr>
          <w:i/>
          <w:iCs/>
        </w:rPr>
        <w:t>Aspergillus flavus</w:t>
      </w:r>
      <w:r w:rsidRPr="004B4C2E">
        <w:rPr>
          <w:bCs/>
        </w:rPr>
        <w:t xml:space="preserve"> infection and aflatoxin contamination.</w:t>
      </w:r>
    </w:p>
    <w:p w14:paraId="0A1DCFA3" w14:textId="3B60D4BC" w:rsidR="00F210A9" w:rsidRPr="004B4C2E" w:rsidRDefault="00F210A9">
      <w:pPr>
        <w:spacing w:before="240" w:line="360" w:lineRule="auto"/>
        <w:ind w:right="-15"/>
        <w:jc w:val="both"/>
      </w:pPr>
      <w:r w:rsidRPr="004B4C2E">
        <w:t>Rashid</w:t>
      </w:r>
      <w:r>
        <w:t xml:space="preserve"> N</w:t>
      </w:r>
      <w:r w:rsidRPr="004B4C2E">
        <w:t>, Bajwa</w:t>
      </w:r>
      <w:r>
        <w:t xml:space="preserve"> </w:t>
      </w:r>
      <w:r w:rsidRPr="004B4C2E">
        <w:t>M. A.</w:t>
      </w:r>
      <w:r>
        <w:t xml:space="preserve">, </w:t>
      </w:r>
      <w:r w:rsidRPr="004B4C2E">
        <w:t>Rafeeq</w:t>
      </w:r>
      <w:r>
        <w:t xml:space="preserve"> M</w:t>
      </w:r>
      <w:r w:rsidRPr="004B4C2E">
        <w:t>, Khan</w:t>
      </w:r>
      <w:r>
        <w:t xml:space="preserve"> M.A.</w:t>
      </w:r>
      <w:r w:rsidRPr="004B4C2E">
        <w:t>, Ahmad</w:t>
      </w:r>
      <w:r>
        <w:t xml:space="preserve"> Z</w:t>
      </w:r>
      <w:r w:rsidRPr="004B4C2E">
        <w:t>, Tariq</w:t>
      </w:r>
      <w:r>
        <w:t xml:space="preserve"> M.M.</w:t>
      </w:r>
      <w:r w:rsidRPr="004B4C2E">
        <w:t>, Wadood</w:t>
      </w:r>
      <w:r>
        <w:t xml:space="preserve"> A</w:t>
      </w:r>
      <w:r w:rsidRPr="004B4C2E">
        <w:t>, and</w:t>
      </w:r>
      <w:r>
        <w:t xml:space="preserve"> </w:t>
      </w:r>
      <w:r w:rsidRPr="004B4C2E">
        <w:t xml:space="preserve"> Abbas</w:t>
      </w:r>
      <w:r>
        <w:t xml:space="preserve"> F</w:t>
      </w:r>
      <w:r w:rsidRPr="004B4C2E">
        <w:t xml:space="preserve">.  Center for Advanced Studies in Vaccinology and Biotechnology, University of Balochistan, Quetta, Pakistan Corresponding author E-mail: </w:t>
      </w:r>
      <w:hyperlink r:id="rId29" w:history="1">
        <w:r w:rsidRPr="004B4C2E">
          <w:rPr>
            <w:rStyle w:val="Hyperlink"/>
          </w:rPr>
          <w:t>nadeemuob@yahoo.com</w:t>
        </w:r>
      </w:hyperlink>
      <w:r w:rsidRPr="004B4C2E">
        <w:t>. P</w:t>
      </w:r>
      <w:r w:rsidR="009E276B" w:rsidRPr="004B4C2E">
        <w:t>revalence of aflatoxin b</w:t>
      </w:r>
      <w:r w:rsidR="009E276B" w:rsidRPr="004B4C2E">
        <w:rPr>
          <w:vertAlign w:val="subscript"/>
        </w:rPr>
        <w:t xml:space="preserve">1 </w:t>
      </w:r>
      <w:r w:rsidR="009E276B" w:rsidRPr="004B4C2E">
        <w:t xml:space="preserve">in finished commercial broiler feed from </w:t>
      </w:r>
      <w:r w:rsidR="009E276B">
        <w:t>W</w:t>
      </w:r>
      <w:r w:rsidR="009E276B" w:rsidRPr="004B4C2E">
        <w:t xml:space="preserve">est </w:t>
      </w:r>
      <w:r w:rsidR="009E276B">
        <w:t>C</w:t>
      </w:r>
      <w:r w:rsidR="009E276B" w:rsidRPr="004B4C2E">
        <w:t xml:space="preserve">entral </w:t>
      </w:r>
      <w:r w:rsidR="009E276B">
        <w:t>P</w:t>
      </w:r>
      <w:r w:rsidR="009E276B" w:rsidRPr="004B4C2E">
        <w:t>akistan</w:t>
      </w:r>
      <w:r w:rsidRPr="004B4C2E">
        <w:t xml:space="preserve">. </w:t>
      </w:r>
      <w:r w:rsidRPr="004B4C2E">
        <w:rPr>
          <w:rFonts w:eastAsia="Arial"/>
        </w:rPr>
        <w:t xml:space="preserve">The Journal of Animal &amp; Plant Sciences, 22(1): 2012, Page: </w:t>
      </w:r>
      <w:r w:rsidRPr="004B4C2E">
        <w:t>J. Anim. Plant Sci. 22(1):2012</w:t>
      </w:r>
      <w:r w:rsidRPr="004B4C2E">
        <w:rPr>
          <w:rFonts w:eastAsia="Arial"/>
        </w:rPr>
        <w:t>6-10 ISSN: 1018-7081</w:t>
      </w:r>
    </w:p>
    <w:p w14:paraId="2CD1FFEE" w14:textId="77777777" w:rsidR="001C095D" w:rsidRDefault="00F9563D">
      <w:pPr>
        <w:spacing w:before="240" w:line="360" w:lineRule="auto"/>
        <w:jc w:val="both"/>
      </w:pPr>
      <w:r w:rsidRPr="004B4C2E">
        <w:t xml:space="preserve">Seyedeh-Maryam Hasheminyaand Jalal Dehghannya Strategies for decreasing aflatoxin </w:t>
      </w:r>
      <w:r w:rsidR="00622B37" w:rsidRPr="004B4C2E">
        <w:t>in livestock</w:t>
      </w:r>
      <w:r w:rsidRPr="004B4C2E">
        <w:t xml:space="preserve"> feed and milk International Research Journal of Applied and Basic </w:t>
      </w:r>
      <w:r w:rsidR="00622B37" w:rsidRPr="004B4C2E">
        <w:t>Sciences ISSN</w:t>
      </w:r>
      <w:r w:rsidRPr="004B4C2E">
        <w:t xml:space="preserve"> 2251-838X / Vol</w:t>
      </w:r>
      <w:r w:rsidR="00622B37">
        <w:t>.</w:t>
      </w:r>
      <w:r w:rsidRPr="004B4C2E">
        <w:t xml:space="preserve"> 4 (6): 1506-1510 </w:t>
      </w:r>
      <w:r w:rsidRPr="004B4C2E">
        <w:tab/>
      </w:r>
    </w:p>
    <w:p w14:paraId="557B4829" w14:textId="77777777" w:rsidR="00F9563D" w:rsidRPr="004B4C2E" w:rsidRDefault="00F9563D">
      <w:pPr>
        <w:spacing w:before="240" w:after="322" w:line="360" w:lineRule="auto"/>
        <w:ind w:right="357"/>
        <w:jc w:val="both"/>
      </w:pPr>
      <w:r w:rsidRPr="004B4C2E">
        <w:rPr>
          <w:color w:val="auto"/>
        </w:rPr>
        <w:t>The Food Safety and Quality Act (2011)</w:t>
      </w:r>
    </w:p>
    <w:p w14:paraId="758C2CCD" w14:textId="77777777" w:rsidR="00F9563D" w:rsidRPr="004B4C2E" w:rsidRDefault="00F9563D">
      <w:pPr>
        <w:spacing w:before="240" w:after="322" w:line="360" w:lineRule="auto"/>
        <w:ind w:right="357"/>
        <w:jc w:val="both"/>
      </w:pPr>
      <w:r w:rsidRPr="004B4C2E">
        <w:t>The Gambia Standards Bureau Act (2010)</w:t>
      </w:r>
    </w:p>
    <w:p w14:paraId="1D9FA17F" w14:textId="77777777" w:rsidR="00F9563D" w:rsidRPr="004B4C2E" w:rsidRDefault="00F9563D">
      <w:pPr>
        <w:spacing w:before="240" w:after="322" w:line="360" w:lineRule="auto"/>
        <w:ind w:right="357"/>
        <w:jc w:val="both"/>
      </w:pPr>
      <w:r w:rsidRPr="004B4C2E">
        <w:t>The Republic of The Gambia, Agriculture and Natural Resources Policy (2009-2015)</w:t>
      </w:r>
    </w:p>
    <w:p w14:paraId="100343B5" w14:textId="77777777" w:rsidR="00F9563D" w:rsidRPr="004B4C2E" w:rsidRDefault="00F9563D">
      <w:pPr>
        <w:spacing w:before="240" w:after="322" w:line="360" w:lineRule="auto"/>
        <w:ind w:right="357"/>
        <w:jc w:val="both"/>
      </w:pPr>
      <w:r w:rsidRPr="004B4C2E">
        <w:t>The Republic of The Gambia, National Health Policy (2012-2020)</w:t>
      </w:r>
    </w:p>
    <w:p w14:paraId="68491D91" w14:textId="7C2C3B21" w:rsidR="00F9563D" w:rsidRPr="004B4C2E" w:rsidRDefault="00F9563D">
      <w:pPr>
        <w:spacing w:before="240" w:after="322" w:line="360" w:lineRule="auto"/>
        <w:ind w:right="357"/>
        <w:jc w:val="both"/>
      </w:pPr>
      <w:r w:rsidRPr="004B4C2E">
        <w:t xml:space="preserve">The Republic of The Gambia, </w:t>
      </w:r>
      <w:r w:rsidR="005960B9">
        <w:t>Gambia National Agricultural Investment Plan</w:t>
      </w:r>
      <w:r w:rsidRPr="004B4C2E">
        <w:t xml:space="preserve"> (20</w:t>
      </w:r>
      <w:r w:rsidR="005960B9">
        <w:t>11</w:t>
      </w:r>
      <w:r w:rsidRPr="004B4C2E">
        <w:t>-20</w:t>
      </w:r>
      <w:r w:rsidR="005960B9">
        <w:t>15</w:t>
      </w:r>
      <w:r w:rsidRPr="004B4C2E">
        <w:t>)</w:t>
      </w:r>
    </w:p>
    <w:p w14:paraId="5DB71962" w14:textId="1E6D0076" w:rsidR="00F210A9" w:rsidRDefault="00F9563D" w:rsidP="002B2C64">
      <w:pPr>
        <w:spacing w:after="14" w:line="360" w:lineRule="auto"/>
        <w:ind w:right="-15"/>
        <w:jc w:val="both"/>
      </w:pPr>
      <w:r w:rsidRPr="004B4C2E">
        <w:lastRenderedPageBreak/>
        <w:t>Tiffany Imes. The Implications of Aflatoxin Contamination for Local Food Safety in Senegal. USDA, Office of the Secretary.</w:t>
      </w:r>
    </w:p>
    <w:p w14:paraId="5C3F4381" w14:textId="77777777" w:rsidR="009E276B" w:rsidRDefault="009E276B" w:rsidP="002B2C64">
      <w:pPr>
        <w:spacing w:after="14" w:line="360" w:lineRule="auto"/>
        <w:ind w:right="-15"/>
        <w:jc w:val="both"/>
      </w:pPr>
    </w:p>
    <w:p w14:paraId="3D8207EC" w14:textId="58484212" w:rsidR="00233006" w:rsidRDefault="00087665" w:rsidP="002B2C64">
      <w:pPr>
        <w:spacing w:after="14" w:line="360" w:lineRule="auto"/>
        <w:ind w:right="-15"/>
        <w:jc w:val="both"/>
      </w:pPr>
      <w:r w:rsidRPr="00087665">
        <w:t>Turner</w:t>
      </w:r>
      <w:r>
        <w:t xml:space="preserve"> P.C., </w:t>
      </w:r>
      <w:r w:rsidRPr="00087665">
        <w:t>Mendy</w:t>
      </w:r>
      <w:r>
        <w:t xml:space="preserve"> M</w:t>
      </w:r>
      <w:r w:rsidR="000630EA">
        <w:t xml:space="preserve">, </w:t>
      </w:r>
      <w:r>
        <w:t>.</w:t>
      </w:r>
      <w:r w:rsidRPr="00087665">
        <w:t>Whittle</w:t>
      </w:r>
      <w:r>
        <w:t xml:space="preserve"> H., </w:t>
      </w:r>
      <w:r w:rsidRPr="00087665">
        <w:t>Fortuin</w:t>
      </w:r>
      <w:r>
        <w:t xml:space="preserve"> M, </w:t>
      </w:r>
      <w:r w:rsidRPr="00087665">
        <w:t>Hal</w:t>
      </w:r>
      <w:r w:rsidR="000630EA">
        <w:t>l</w:t>
      </w:r>
      <w:r>
        <w:t>, A.J.,</w:t>
      </w:r>
      <w:r w:rsidRPr="00087665">
        <w:t xml:space="preserve"> and Wild</w:t>
      </w:r>
      <w:r>
        <w:t>, C.P.</w:t>
      </w:r>
      <w:r w:rsidR="000630EA">
        <w:t xml:space="preserve"> 2000. </w:t>
      </w:r>
      <w:r w:rsidR="000630EA" w:rsidRPr="000630EA">
        <w:t>Hepatitis B infection and aﬂatoxin biomarker levels in Gambian children</w:t>
      </w:r>
      <w:r w:rsidR="000630EA">
        <w:t xml:space="preserve">. </w:t>
      </w:r>
      <w:r w:rsidR="000630EA" w:rsidRPr="000630EA">
        <w:t>Tropical Medicine and International Health</w:t>
      </w:r>
      <w:r w:rsidR="000630EA">
        <w:t>. V</w:t>
      </w:r>
      <w:r w:rsidR="000630EA" w:rsidRPr="000630EA">
        <w:t>olume 5 no 12 pp 837–841</w:t>
      </w:r>
      <w:r w:rsidR="000630EA">
        <w:t>.</w:t>
      </w:r>
    </w:p>
    <w:p w14:paraId="617AFE52" w14:textId="1ECC3496" w:rsidR="00C17507" w:rsidRDefault="00C17507" w:rsidP="00C17507">
      <w:pPr>
        <w:spacing w:before="240" w:line="360" w:lineRule="auto"/>
        <w:jc w:val="both"/>
      </w:pPr>
      <w:r w:rsidRPr="00CB04F9">
        <w:t>Turner</w:t>
      </w:r>
      <w:r>
        <w:t xml:space="preserve"> PC, </w:t>
      </w:r>
      <w:r w:rsidRPr="00CB04F9">
        <w:t>Collinson,</w:t>
      </w:r>
      <w:r>
        <w:t xml:space="preserve"> AC,</w:t>
      </w:r>
      <w:r w:rsidRPr="00CB04F9">
        <w:t xml:space="preserve"> Cheung, </w:t>
      </w:r>
      <w:r>
        <w:t xml:space="preserve">YB, </w:t>
      </w:r>
      <w:r w:rsidRPr="00CB04F9">
        <w:t>Gong,</w:t>
      </w:r>
      <w:r>
        <w:t xml:space="preserve"> YY,</w:t>
      </w:r>
      <w:r w:rsidRPr="00CB04F9">
        <w:t xml:space="preserve"> Hall, </w:t>
      </w:r>
      <w:r>
        <w:t xml:space="preserve">AJ, </w:t>
      </w:r>
      <w:r w:rsidRPr="00CB04F9">
        <w:t xml:space="preserve">Prentice, </w:t>
      </w:r>
      <w:r w:rsidR="005D10BB">
        <w:t xml:space="preserve">AM, </w:t>
      </w:r>
      <w:r w:rsidRPr="00CB04F9">
        <w:t>and Wild.</w:t>
      </w:r>
      <w:r w:rsidR="005D10BB">
        <w:t xml:space="preserve"> CP</w:t>
      </w:r>
      <w:r w:rsidRPr="00CB04F9">
        <w:t xml:space="preserve"> 2007. Aflatoxin exposure in utero causes growth faltering in Gambian infants. International Journal of Epidemiology 2007;36:1119–1125.</w:t>
      </w:r>
      <w:r>
        <w:t>W</w:t>
      </w:r>
      <w:r w:rsidRPr="004B4C2E">
        <w:t>ild</w:t>
      </w:r>
      <w:r>
        <w:t xml:space="preserve"> </w:t>
      </w:r>
      <w:r w:rsidRPr="004B4C2E">
        <w:t>Christopher P., Fortuin</w:t>
      </w:r>
      <w:r>
        <w:t xml:space="preserve"> </w:t>
      </w:r>
      <w:r w:rsidRPr="004B4C2E">
        <w:t>Marijke, Donato</w:t>
      </w:r>
      <w:r>
        <w:t xml:space="preserve"> </w:t>
      </w:r>
    </w:p>
    <w:p w14:paraId="259A1E83" w14:textId="35806DF8" w:rsidR="00573B40" w:rsidRDefault="00573B40" w:rsidP="002B2C64">
      <w:pPr>
        <w:spacing w:after="14" w:line="360" w:lineRule="auto"/>
        <w:ind w:right="-15"/>
        <w:jc w:val="both"/>
      </w:pPr>
      <w:r w:rsidRPr="00150BA1">
        <w:rPr>
          <w:noProof/>
          <w:sz w:val="24"/>
          <w:szCs w:val="24"/>
          <w:lang w:eastAsia="ja-JP"/>
        </w:rPr>
        <w:t>Wild CP, Hasegawa R, Barraud L, Chutimataewin S, Chapot B, Ito N, et al. Aflatoxin-albumin adducts: a basis for comparative carcinogenesis between animals and humans. Cancer Epidemiology Biomarkers &amp; Prevention. 1996;5(3):179-89</w:t>
      </w:r>
    </w:p>
    <w:p w14:paraId="529803AE" w14:textId="77777777" w:rsidR="001C095D" w:rsidRPr="004B4C2E" w:rsidRDefault="001C095D" w:rsidP="00A577D1">
      <w:pPr>
        <w:spacing w:before="240" w:line="360" w:lineRule="auto"/>
        <w:ind w:right="357"/>
        <w:jc w:val="both"/>
      </w:pPr>
      <w:r w:rsidRPr="004B4C2E">
        <w:t xml:space="preserve">Wojcieh J and Shashidhara Kolavalli. </w:t>
      </w:r>
      <w:r>
        <w:t xml:space="preserve">August 2014. </w:t>
      </w:r>
      <w:r w:rsidRPr="004B4C2E">
        <w:t>Strategies to control aflatoxin in groundnut value chains. International Food Policy Research Institute. IFPRI Discussion Paper 01369</w:t>
      </w:r>
      <w:r>
        <w:t>.</w:t>
      </w:r>
    </w:p>
    <w:p w14:paraId="4E933E62" w14:textId="77777777" w:rsidR="00F9563D" w:rsidRPr="009231BB" w:rsidRDefault="00F9563D" w:rsidP="00E61D71">
      <w:pPr>
        <w:spacing w:after="157" w:line="360" w:lineRule="auto"/>
        <w:ind w:left="0" w:firstLine="0"/>
        <w:jc w:val="both"/>
      </w:pPr>
    </w:p>
    <w:sectPr w:rsidR="00F9563D" w:rsidRPr="009231BB" w:rsidSect="00A02D4B">
      <w:footerReference w:type="default" r:id="rId3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F036C" w15:done="0"/>
  <w15:commentEx w15:paraId="75C98A45" w15:done="0"/>
  <w15:commentEx w15:paraId="737711B7" w15:done="0"/>
  <w15:commentEx w15:paraId="176D195B" w15:done="0"/>
  <w15:commentEx w15:paraId="33A0479A" w15:done="0"/>
  <w15:commentEx w15:paraId="5D019522" w15:done="0"/>
  <w15:commentEx w15:paraId="3BA00045" w15:done="0"/>
  <w15:commentEx w15:paraId="27DE76F7" w15:done="0"/>
  <w15:commentEx w15:paraId="4B413620" w15:done="0"/>
  <w15:commentEx w15:paraId="154F336F" w15:done="0"/>
  <w15:commentEx w15:paraId="5A76390C" w15:done="0"/>
  <w15:commentEx w15:paraId="2723EF2D" w15:done="0"/>
  <w15:commentEx w15:paraId="7EEF7DB1" w15:done="0"/>
  <w15:commentEx w15:paraId="59BFD97F" w15:done="0"/>
  <w15:commentEx w15:paraId="65DA6F88" w15:done="0"/>
  <w15:commentEx w15:paraId="1514FFED" w15:done="0"/>
  <w15:commentEx w15:paraId="7A3F5701" w15:done="0"/>
  <w15:commentEx w15:paraId="29F5F5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8F14" w14:textId="77777777" w:rsidR="00891F69" w:rsidRDefault="00891F69" w:rsidP="00746886">
      <w:pPr>
        <w:spacing w:after="0" w:line="240" w:lineRule="auto"/>
      </w:pPr>
      <w:r>
        <w:separator/>
      </w:r>
    </w:p>
  </w:endnote>
  <w:endnote w:type="continuationSeparator" w:id="0">
    <w:p w14:paraId="3690B601" w14:textId="77777777" w:rsidR="00891F69" w:rsidRDefault="00891F69" w:rsidP="0074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910"/>
      <w:docPartObj>
        <w:docPartGallery w:val="Page Numbers (Bottom of Page)"/>
        <w:docPartUnique/>
      </w:docPartObj>
    </w:sdtPr>
    <w:sdtEndPr>
      <w:rPr>
        <w:noProof/>
      </w:rPr>
    </w:sdtEndPr>
    <w:sdtContent>
      <w:p w14:paraId="232115D7" w14:textId="56D8C7DD" w:rsidR="007710B3" w:rsidRDefault="007710B3">
        <w:pPr>
          <w:pStyle w:val="Footer"/>
          <w:jc w:val="right"/>
        </w:pPr>
        <w:r>
          <w:fldChar w:fldCharType="begin"/>
        </w:r>
        <w:r>
          <w:instrText xml:space="preserve"> PAGE   \* MERGEFORMAT </w:instrText>
        </w:r>
        <w:r>
          <w:fldChar w:fldCharType="separate"/>
        </w:r>
        <w:r w:rsidR="00653ABC">
          <w:rPr>
            <w:noProof/>
          </w:rPr>
          <w:t>2</w:t>
        </w:r>
        <w:r>
          <w:rPr>
            <w:noProof/>
          </w:rPr>
          <w:fldChar w:fldCharType="end"/>
        </w:r>
      </w:p>
    </w:sdtContent>
  </w:sdt>
  <w:p w14:paraId="631E2427" w14:textId="77777777" w:rsidR="007710B3" w:rsidRDefault="0077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AE31" w14:textId="77777777" w:rsidR="00891F69" w:rsidRDefault="00891F69" w:rsidP="00746886">
      <w:pPr>
        <w:spacing w:after="0" w:line="240" w:lineRule="auto"/>
      </w:pPr>
      <w:r>
        <w:separator/>
      </w:r>
    </w:p>
  </w:footnote>
  <w:footnote w:type="continuationSeparator" w:id="0">
    <w:p w14:paraId="164B0505" w14:textId="77777777" w:rsidR="00891F69" w:rsidRDefault="00891F69" w:rsidP="00746886">
      <w:pPr>
        <w:spacing w:after="0" w:line="240" w:lineRule="auto"/>
      </w:pPr>
      <w:r>
        <w:continuationSeparator/>
      </w:r>
    </w:p>
  </w:footnote>
  <w:footnote w:id="1">
    <w:p w14:paraId="2E901579" w14:textId="1B0A14D1" w:rsidR="007710B3" w:rsidRPr="0094607A" w:rsidRDefault="007710B3">
      <w:pPr>
        <w:pStyle w:val="FootnoteText"/>
        <w:rPr>
          <w:lang w:val="en-US"/>
        </w:rPr>
      </w:pPr>
      <w:r>
        <w:rPr>
          <w:rStyle w:val="FootnoteReference"/>
        </w:rPr>
        <w:footnoteRef/>
      </w:r>
      <w:r>
        <w:t xml:space="preserve"> The filtration process removes the carbohydrate particles on which the aflatoxin adheres itself. It does not adhere to lipids (personal communications GGC)</w:t>
      </w:r>
    </w:p>
  </w:footnote>
  <w:footnote w:id="2">
    <w:p w14:paraId="2E48D43F" w14:textId="77777777" w:rsidR="007710B3" w:rsidRDefault="007710B3" w:rsidP="008505E8">
      <w:pPr>
        <w:pStyle w:val="FootnoteText"/>
      </w:pPr>
      <w:r>
        <w:rPr>
          <w:rStyle w:val="FootnoteReference"/>
        </w:rPr>
        <w:footnoteRef/>
      </w:r>
      <w:r>
        <w:t xml:space="preserve"> Liver, Lung, other GIs, prostate, lymphoma </w:t>
      </w:r>
    </w:p>
  </w:footnote>
  <w:footnote w:id="3">
    <w:p w14:paraId="3B034DC1" w14:textId="77777777" w:rsidR="007710B3" w:rsidRDefault="007710B3" w:rsidP="008505E8">
      <w:pPr>
        <w:pStyle w:val="FootnoteText"/>
      </w:pPr>
      <w:r>
        <w:rPr>
          <w:rStyle w:val="FootnoteReference"/>
        </w:rPr>
        <w:footnoteRef/>
      </w:r>
      <w:r>
        <w:t xml:space="preserve"> Cervical, Liver, Breast, Other Gis, Ovary</w:t>
      </w:r>
    </w:p>
  </w:footnote>
  <w:footnote w:id="4">
    <w:p w14:paraId="060955AA" w14:textId="08765CA5" w:rsidR="007710B3" w:rsidRDefault="007710B3">
      <w:pPr>
        <w:pStyle w:val="FootnoteText"/>
      </w:pPr>
      <w:r>
        <w:rPr>
          <w:rStyle w:val="FootnoteReference"/>
        </w:rPr>
        <w:footnoteRef/>
      </w:r>
      <w:r>
        <w:t xml:space="preserve"> The life expectancy for men in The Gambia is 62 years and 66.7 years for females.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F5"/>
    <w:multiLevelType w:val="hybridMultilevel"/>
    <w:tmpl w:val="615E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F33BA"/>
    <w:multiLevelType w:val="hybridMultilevel"/>
    <w:tmpl w:val="4ADC4DC8"/>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06F647F4"/>
    <w:multiLevelType w:val="hybridMultilevel"/>
    <w:tmpl w:val="421A3EC2"/>
    <w:lvl w:ilvl="0" w:tplc="0809000B">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
    <w:nsid w:val="0CC81195"/>
    <w:multiLevelType w:val="hybridMultilevel"/>
    <w:tmpl w:val="9EA804AE"/>
    <w:lvl w:ilvl="0" w:tplc="08090001">
      <w:start w:val="1"/>
      <w:numFmt w:val="bullet"/>
      <w:lvlText w:val=""/>
      <w:lvlJc w:val="left"/>
      <w:pPr>
        <w:ind w:left="330" w:hanging="360"/>
      </w:pPr>
      <w:rPr>
        <w:rFonts w:ascii="Symbol" w:hAnsi="Symbol"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4">
    <w:nsid w:val="0FB70E4F"/>
    <w:multiLevelType w:val="hybridMultilevel"/>
    <w:tmpl w:val="5808A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CA796D"/>
    <w:multiLevelType w:val="multilevel"/>
    <w:tmpl w:val="4BF69A6C"/>
    <w:lvl w:ilvl="0">
      <w:start w:val="1"/>
      <w:numFmt w:val="decimal"/>
      <w:lvlText w:val="%1"/>
      <w:lvlJc w:val="left"/>
      <w:pPr>
        <w:ind w:left="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019539D"/>
    <w:multiLevelType w:val="hybridMultilevel"/>
    <w:tmpl w:val="535445FE"/>
    <w:lvl w:ilvl="0" w:tplc="DDB88E80">
      <w:start w:val="4"/>
      <w:numFmt w:val="upp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nsid w:val="1E8E51CD"/>
    <w:multiLevelType w:val="hybridMultilevel"/>
    <w:tmpl w:val="CA7A4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D00F1F"/>
    <w:multiLevelType w:val="hybridMultilevel"/>
    <w:tmpl w:val="78E0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A022A6"/>
    <w:multiLevelType w:val="hybridMultilevel"/>
    <w:tmpl w:val="0B262032"/>
    <w:lvl w:ilvl="0" w:tplc="E372456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27274A47"/>
    <w:multiLevelType w:val="multilevel"/>
    <w:tmpl w:val="AB30EF2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565009"/>
    <w:multiLevelType w:val="multilevel"/>
    <w:tmpl w:val="4FC821B0"/>
    <w:lvl w:ilvl="0">
      <w:start w:val="1"/>
      <w:numFmt w:val="decimal"/>
      <w:lvlText w:val="%1"/>
      <w:lvlJc w:val="left"/>
      <w:pPr>
        <w:ind w:left="390" w:hanging="390"/>
      </w:pPr>
      <w:rPr>
        <w:rFonts w:hint="default"/>
      </w:rPr>
    </w:lvl>
    <w:lvl w:ilvl="1">
      <w:start w:val="1"/>
      <w:numFmt w:val="decimal"/>
      <w:lvlText w:val="%1.%2"/>
      <w:lvlJc w:val="left"/>
      <w:pPr>
        <w:ind w:left="375" w:hanging="39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2">
    <w:nsid w:val="2C601FE6"/>
    <w:multiLevelType w:val="hybridMultilevel"/>
    <w:tmpl w:val="4E9416D8"/>
    <w:lvl w:ilvl="0" w:tplc="2304AC8E">
      <w:start w:val="1"/>
      <w:numFmt w:val="upp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nsid w:val="2C85224F"/>
    <w:multiLevelType w:val="hybridMultilevel"/>
    <w:tmpl w:val="CD94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942065"/>
    <w:multiLevelType w:val="hybridMultilevel"/>
    <w:tmpl w:val="E63AE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AF51AC"/>
    <w:multiLevelType w:val="hybridMultilevel"/>
    <w:tmpl w:val="83D4FAAE"/>
    <w:lvl w:ilvl="0" w:tplc="DEBA23AA">
      <w:start w:val="3"/>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365B6F16"/>
    <w:multiLevelType w:val="hybridMultilevel"/>
    <w:tmpl w:val="695C8090"/>
    <w:lvl w:ilvl="0" w:tplc="BB6E045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nsid w:val="38060884"/>
    <w:multiLevelType w:val="hybridMultilevel"/>
    <w:tmpl w:val="6BF62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EF55F9"/>
    <w:multiLevelType w:val="multilevel"/>
    <w:tmpl w:val="D208031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47755A"/>
    <w:multiLevelType w:val="hybridMultilevel"/>
    <w:tmpl w:val="D2A80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252E6B"/>
    <w:multiLevelType w:val="hybridMultilevel"/>
    <w:tmpl w:val="6E10CEE4"/>
    <w:lvl w:ilvl="0" w:tplc="0809000B">
      <w:start w:val="1"/>
      <w:numFmt w:val="bullet"/>
      <w:lvlText w:val=""/>
      <w:lvlJc w:val="left"/>
      <w:pPr>
        <w:ind w:left="1785" w:hanging="360"/>
      </w:pPr>
      <w:rPr>
        <w:rFonts w:ascii="Wingdings" w:hAnsi="Wingding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nsid w:val="426B4B1C"/>
    <w:multiLevelType w:val="hybridMultilevel"/>
    <w:tmpl w:val="42B69DF8"/>
    <w:lvl w:ilvl="0" w:tplc="4A4A50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62231A"/>
    <w:multiLevelType w:val="hybridMultilevel"/>
    <w:tmpl w:val="2364096C"/>
    <w:lvl w:ilvl="0" w:tplc="08090001">
      <w:start w:val="1"/>
      <w:numFmt w:val="bullet"/>
      <w:lvlText w:val=""/>
      <w:lvlJc w:val="left"/>
      <w:pPr>
        <w:ind w:left="705" w:hanging="360"/>
      </w:pPr>
      <w:rPr>
        <w:rFonts w:ascii="Symbol" w:hAnsi="Symbol" w:hint="default"/>
      </w:rPr>
    </w:lvl>
    <w:lvl w:ilvl="1" w:tplc="5ADE7650">
      <w:start w:val="1"/>
      <w:numFmt w:val="bullet"/>
      <w:lvlText w:val="-"/>
      <w:lvlJc w:val="left"/>
      <w:pPr>
        <w:ind w:left="1800" w:hanging="735"/>
      </w:pPr>
      <w:rPr>
        <w:rFonts w:ascii="Times New Roman" w:eastAsia="Times New Roman" w:hAnsi="Times New Roman" w:cs="Times New Roman"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nsid w:val="4DE761FD"/>
    <w:multiLevelType w:val="hybridMultilevel"/>
    <w:tmpl w:val="D47054D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012342"/>
    <w:multiLevelType w:val="hybridMultilevel"/>
    <w:tmpl w:val="39503302"/>
    <w:lvl w:ilvl="0" w:tplc="C45EE564">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nsid w:val="54F039BD"/>
    <w:multiLevelType w:val="hybridMultilevel"/>
    <w:tmpl w:val="163A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AC408B"/>
    <w:multiLevelType w:val="hybridMultilevel"/>
    <w:tmpl w:val="C282A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DC638A"/>
    <w:multiLevelType w:val="hybridMultilevel"/>
    <w:tmpl w:val="CAB40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565E5A"/>
    <w:multiLevelType w:val="hybridMultilevel"/>
    <w:tmpl w:val="81E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5F0F61"/>
    <w:multiLevelType w:val="multilevel"/>
    <w:tmpl w:val="5ECAE1C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8844FEA"/>
    <w:multiLevelType w:val="multilevel"/>
    <w:tmpl w:val="08A03F1E"/>
    <w:lvl w:ilvl="0">
      <w:start w:val="1"/>
      <w:numFmt w:val="decimal"/>
      <w:lvlText w:val="%1.0"/>
      <w:lvlJc w:val="left"/>
      <w:pPr>
        <w:ind w:left="345"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185" w:hanging="1440"/>
      </w:pPr>
      <w:rPr>
        <w:rFonts w:hint="default"/>
      </w:rPr>
    </w:lvl>
  </w:abstractNum>
  <w:abstractNum w:abstractNumId="31">
    <w:nsid w:val="68C940B9"/>
    <w:multiLevelType w:val="hybridMultilevel"/>
    <w:tmpl w:val="3062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E81D1A"/>
    <w:multiLevelType w:val="hybridMultilevel"/>
    <w:tmpl w:val="41688A48"/>
    <w:lvl w:ilvl="0" w:tplc="0809000B">
      <w:start w:val="1"/>
      <w:numFmt w:val="bullet"/>
      <w:lvlText w:val=""/>
      <w:lvlJc w:val="left"/>
      <w:pPr>
        <w:ind w:left="1425" w:hanging="360"/>
      </w:pPr>
      <w:rPr>
        <w:rFonts w:ascii="Wingdings" w:hAnsi="Wingding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3">
    <w:nsid w:val="6B5F667B"/>
    <w:multiLevelType w:val="hybridMultilevel"/>
    <w:tmpl w:val="926257CA"/>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4">
    <w:nsid w:val="6FAA1B10"/>
    <w:multiLevelType w:val="hybridMultilevel"/>
    <w:tmpl w:val="759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77DB4"/>
    <w:multiLevelType w:val="hybridMultilevel"/>
    <w:tmpl w:val="91644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580220"/>
    <w:multiLevelType w:val="hybridMultilevel"/>
    <w:tmpl w:val="C002A09C"/>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809000B">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F176D7"/>
    <w:multiLevelType w:val="multilevel"/>
    <w:tmpl w:val="C7FCCC9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7E975C5"/>
    <w:multiLevelType w:val="hybridMultilevel"/>
    <w:tmpl w:val="C59A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C779D"/>
    <w:multiLevelType w:val="hybridMultilevel"/>
    <w:tmpl w:val="05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B37114"/>
    <w:multiLevelType w:val="multilevel"/>
    <w:tmpl w:val="CE669610"/>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num w:numId="1">
    <w:abstractNumId w:val="5"/>
  </w:num>
  <w:num w:numId="2">
    <w:abstractNumId w:val="29"/>
  </w:num>
  <w:num w:numId="3">
    <w:abstractNumId w:val="1"/>
  </w:num>
  <w:num w:numId="4">
    <w:abstractNumId w:val="15"/>
  </w:num>
  <w:num w:numId="5">
    <w:abstractNumId w:val="40"/>
  </w:num>
  <w:num w:numId="6">
    <w:abstractNumId w:val="30"/>
  </w:num>
  <w:num w:numId="7">
    <w:abstractNumId w:val="39"/>
  </w:num>
  <w:num w:numId="8">
    <w:abstractNumId w:val="14"/>
  </w:num>
  <w:num w:numId="9">
    <w:abstractNumId w:val="25"/>
  </w:num>
  <w:num w:numId="10">
    <w:abstractNumId w:val="31"/>
  </w:num>
  <w:num w:numId="11">
    <w:abstractNumId w:val="7"/>
  </w:num>
  <w:num w:numId="12">
    <w:abstractNumId w:val="28"/>
  </w:num>
  <w:num w:numId="13">
    <w:abstractNumId w:val="22"/>
  </w:num>
  <w:num w:numId="14">
    <w:abstractNumId w:val="38"/>
  </w:num>
  <w:num w:numId="15">
    <w:abstractNumId w:val="36"/>
  </w:num>
  <w:num w:numId="16">
    <w:abstractNumId w:val="24"/>
  </w:num>
  <w:num w:numId="17">
    <w:abstractNumId w:val="21"/>
  </w:num>
  <w:num w:numId="18">
    <w:abstractNumId w:val="23"/>
  </w:num>
  <w:num w:numId="19">
    <w:abstractNumId w:val="3"/>
  </w:num>
  <w:num w:numId="20">
    <w:abstractNumId w:val="0"/>
  </w:num>
  <w:num w:numId="21">
    <w:abstractNumId w:val="2"/>
  </w:num>
  <w:num w:numId="22">
    <w:abstractNumId w:val="17"/>
  </w:num>
  <w:num w:numId="23">
    <w:abstractNumId w:val="32"/>
  </w:num>
  <w:num w:numId="24">
    <w:abstractNumId w:val="20"/>
  </w:num>
  <w:num w:numId="25">
    <w:abstractNumId w:val="12"/>
  </w:num>
  <w:num w:numId="26">
    <w:abstractNumId w:val="26"/>
  </w:num>
  <w:num w:numId="27">
    <w:abstractNumId w:val="6"/>
  </w:num>
  <w:num w:numId="28">
    <w:abstractNumId w:val="27"/>
  </w:num>
  <w:num w:numId="29">
    <w:abstractNumId w:val="13"/>
  </w:num>
  <w:num w:numId="30">
    <w:abstractNumId w:val="8"/>
  </w:num>
  <w:num w:numId="31">
    <w:abstractNumId w:val="4"/>
  </w:num>
  <w:num w:numId="32">
    <w:abstractNumId w:val="35"/>
  </w:num>
  <w:num w:numId="33">
    <w:abstractNumId w:val="11"/>
  </w:num>
  <w:num w:numId="34">
    <w:abstractNumId w:val="37"/>
  </w:num>
  <w:num w:numId="35">
    <w:abstractNumId w:val="34"/>
  </w:num>
  <w:num w:numId="36">
    <w:abstractNumId w:val="9"/>
  </w:num>
  <w:num w:numId="37">
    <w:abstractNumId w:val="16"/>
  </w:num>
  <w:num w:numId="38">
    <w:abstractNumId w:val="33"/>
  </w:num>
  <w:num w:numId="39">
    <w:abstractNumId w:val="10"/>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71"/>
    <w:rsid w:val="000032F6"/>
    <w:rsid w:val="000050C0"/>
    <w:rsid w:val="00005730"/>
    <w:rsid w:val="0000574F"/>
    <w:rsid w:val="00006849"/>
    <w:rsid w:val="00007108"/>
    <w:rsid w:val="00007FC1"/>
    <w:rsid w:val="00011C03"/>
    <w:rsid w:val="00012167"/>
    <w:rsid w:val="0001308D"/>
    <w:rsid w:val="00014E32"/>
    <w:rsid w:val="0001520C"/>
    <w:rsid w:val="000152DC"/>
    <w:rsid w:val="0001674B"/>
    <w:rsid w:val="00016BAF"/>
    <w:rsid w:val="000217E2"/>
    <w:rsid w:val="00023109"/>
    <w:rsid w:val="00023944"/>
    <w:rsid w:val="00023BB5"/>
    <w:rsid w:val="00023C09"/>
    <w:rsid w:val="00025CD4"/>
    <w:rsid w:val="00026FDF"/>
    <w:rsid w:val="0003056C"/>
    <w:rsid w:val="00032DF6"/>
    <w:rsid w:val="000333CF"/>
    <w:rsid w:val="00033B35"/>
    <w:rsid w:val="0003443A"/>
    <w:rsid w:val="00037F69"/>
    <w:rsid w:val="00042E5B"/>
    <w:rsid w:val="00047393"/>
    <w:rsid w:val="0005019D"/>
    <w:rsid w:val="00051884"/>
    <w:rsid w:val="000568A6"/>
    <w:rsid w:val="00056AD1"/>
    <w:rsid w:val="00056B81"/>
    <w:rsid w:val="000630EA"/>
    <w:rsid w:val="0007045A"/>
    <w:rsid w:val="00070B5E"/>
    <w:rsid w:val="00070DBE"/>
    <w:rsid w:val="00071DF2"/>
    <w:rsid w:val="00071EB5"/>
    <w:rsid w:val="000726E4"/>
    <w:rsid w:val="00073758"/>
    <w:rsid w:val="00074E42"/>
    <w:rsid w:val="0007651E"/>
    <w:rsid w:val="00076E47"/>
    <w:rsid w:val="000771FC"/>
    <w:rsid w:val="000826A5"/>
    <w:rsid w:val="0008375B"/>
    <w:rsid w:val="00087665"/>
    <w:rsid w:val="000904B3"/>
    <w:rsid w:val="00091C9A"/>
    <w:rsid w:val="0009223C"/>
    <w:rsid w:val="000937F7"/>
    <w:rsid w:val="0009415C"/>
    <w:rsid w:val="0009589A"/>
    <w:rsid w:val="00095C4D"/>
    <w:rsid w:val="000A0476"/>
    <w:rsid w:val="000A07D8"/>
    <w:rsid w:val="000A0B1F"/>
    <w:rsid w:val="000A1BBD"/>
    <w:rsid w:val="000A2820"/>
    <w:rsid w:val="000A6A95"/>
    <w:rsid w:val="000A6FC0"/>
    <w:rsid w:val="000A7CF3"/>
    <w:rsid w:val="000B1A92"/>
    <w:rsid w:val="000B1AE6"/>
    <w:rsid w:val="000B41F7"/>
    <w:rsid w:val="000B44AF"/>
    <w:rsid w:val="000B60D1"/>
    <w:rsid w:val="000B6FAE"/>
    <w:rsid w:val="000B7871"/>
    <w:rsid w:val="000C017F"/>
    <w:rsid w:val="000C1744"/>
    <w:rsid w:val="000C17C7"/>
    <w:rsid w:val="000C2583"/>
    <w:rsid w:val="000C3C61"/>
    <w:rsid w:val="000C3EE7"/>
    <w:rsid w:val="000C4241"/>
    <w:rsid w:val="000C45B6"/>
    <w:rsid w:val="000C494A"/>
    <w:rsid w:val="000C63F2"/>
    <w:rsid w:val="000C6922"/>
    <w:rsid w:val="000D0A3E"/>
    <w:rsid w:val="000D160A"/>
    <w:rsid w:val="000D3198"/>
    <w:rsid w:val="000D326F"/>
    <w:rsid w:val="000D6652"/>
    <w:rsid w:val="000E043D"/>
    <w:rsid w:val="000E1E7E"/>
    <w:rsid w:val="000E3A38"/>
    <w:rsid w:val="000E6769"/>
    <w:rsid w:val="000F254D"/>
    <w:rsid w:val="000F2E95"/>
    <w:rsid w:val="000F588B"/>
    <w:rsid w:val="000F77CC"/>
    <w:rsid w:val="00101349"/>
    <w:rsid w:val="001019AF"/>
    <w:rsid w:val="00101EA2"/>
    <w:rsid w:val="00101F55"/>
    <w:rsid w:val="00104F5B"/>
    <w:rsid w:val="0010690B"/>
    <w:rsid w:val="00106AA1"/>
    <w:rsid w:val="00110D58"/>
    <w:rsid w:val="00110EBA"/>
    <w:rsid w:val="00111C00"/>
    <w:rsid w:val="0011257B"/>
    <w:rsid w:val="00112925"/>
    <w:rsid w:val="001141FE"/>
    <w:rsid w:val="00116106"/>
    <w:rsid w:val="001215B5"/>
    <w:rsid w:val="00121625"/>
    <w:rsid w:val="00122433"/>
    <w:rsid w:val="001244B7"/>
    <w:rsid w:val="00124BE9"/>
    <w:rsid w:val="00125BC7"/>
    <w:rsid w:val="00126123"/>
    <w:rsid w:val="001304A1"/>
    <w:rsid w:val="001310CE"/>
    <w:rsid w:val="001313C5"/>
    <w:rsid w:val="00133176"/>
    <w:rsid w:val="00135277"/>
    <w:rsid w:val="0013596F"/>
    <w:rsid w:val="00143A14"/>
    <w:rsid w:val="00143C7E"/>
    <w:rsid w:val="00146380"/>
    <w:rsid w:val="00146C0B"/>
    <w:rsid w:val="00146EDE"/>
    <w:rsid w:val="001470D1"/>
    <w:rsid w:val="0015235D"/>
    <w:rsid w:val="0015510D"/>
    <w:rsid w:val="00155C8E"/>
    <w:rsid w:val="00156EEE"/>
    <w:rsid w:val="001578F1"/>
    <w:rsid w:val="00161971"/>
    <w:rsid w:val="0016244F"/>
    <w:rsid w:val="00163197"/>
    <w:rsid w:val="001649E7"/>
    <w:rsid w:val="001656E7"/>
    <w:rsid w:val="0016592D"/>
    <w:rsid w:val="0016610C"/>
    <w:rsid w:val="00172594"/>
    <w:rsid w:val="0017564B"/>
    <w:rsid w:val="00176FB4"/>
    <w:rsid w:val="00177505"/>
    <w:rsid w:val="001775BD"/>
    <w:rsid w:val="001802CD"/>
    <w:rsid w:val="00183AFA"/>
    <w:rsid w:val="00184072"/>
    <w:rsid w:val="001844D1"/>
    <w:rsid w:val="00186AA9"/>
    <w:rsid w:val="001874C4"/>
    <w:rsid w:val="00187527"/>
    <w:rsid w:val="00193D44"/>
    <w:rsid w:val="00197E05"/>
    <w:rsid w:val="001A0A72"/>
    <w:rsid w:val="001A0B23"/>
    <w:rsid w:val="001A0B72"/>
    <w:rsid w:val="001A30BE"/>
    <w:rsid w:val="001A38FF"/>
    <w:rsid w:val="001A3F15"/>
    <w:rsid w:val="001A6500"/>
    <w:rsid w:val="001A6B89"/>
    <w:rsid w:val="001B0518"/>
    <w:rsid w:val="001B191B"/>
    <w:rsid w:val="001B261B"/>
    <w:rsid w:val="001B26EC"/>
    <w:rsid w:val="001B3EAB"/>
    <w:rsid w:val="001B56E8"/>
    <w:rsid w:val="001B7D6B"/>
    <w:rsid w:val="001C095D"/>
    <w:rsid w:val="001C0E90"/>
    <w:rsid w:val="001C202A"/>
    <w:rsid w:val="001C4887"/>
    <w:rsid w:val="001C7682"/>
    <w:rsid w:val="001D03BF"/>
    <w:rsid w:val="001D22A3"/>
    <w:rsid w:val="001D23AD"/>
    <w:rsid w:val="001D4048"/>
    <w:rsid w:val="001D7732"/>
    <w:rsid w:val="001E02E1"/>
    <w:rsid w:val="001E37ED"/>
    <w:rsid w:val="001E73D8"/>
    <w:rsid w:val="001F05E3"/>
    <w:rsid w:val="001F4EB1"/>
    <w:rsid w:val="001F62BF"/>
    <w:rsid w:val="001F64AF"/>
    <w:rsid w:val="00200D69"/>
    <w:rsid w:val="0020181D"/>
    <w:rsid w:val="0020191C"/>
    <w:rsid w:val="00204528"/>
    <w:rsid w:val="002067C0"/>
    <w:rsid w:val="00206A97"/>
    <w:rsid w:val="00207E46"/>
    <w:rsid w:val="00214080"/>
    <w:rsid w:val="002147FF"/>
    <w:rsid w:val="00214EC8"/>
    <w:rsid w:val="002159DE"/>
    <w:rsid w:val="00215A54"/>
    <w:rsid w:val="00216FF1"/>
    <w:rsid w:val="00221036"/>
    <w:rsid w:val="00223232"/>
    <w:rsid w:val="00223C88"/>
    <w:rsid w:val="0022648F"/>
    <w:rsid w:val="00226650"/>
    <w:rsid w:val="00226706"/>
    <w:rsid w:val="00226CE5"/>
    <w:rsid w:val="002272C1"/>
    <w:rsid w:val="00227BA3"/>
    <w:rsid w:val="00231128"/>
    <w:rsid w:val="0023112B"/>
    <w:rsid w:val="002320E3"/>
    <w:rsid w:val="0023225D"/>
    <w:rsid w:val="00233006"/>
    <w:rsid w:val="0023335D"/>
    <w:rsid w:val="002335F9"/>
    <w:rsid w:val="002366BA"/>
    <w:rsid w:val="0023714D"/>
    <w:rsid w:val="00237453"/>
    <w:rsid w:val="00237990"/>
    <w:rsid w:val="00240C8D"/>
    <w:rsid w:val="00241EA5"/>
    <w:rsid w:val="00241F73"/>
    <w:rsid w:val="00243443"/>
    <w:rsid w:val="00244849"/>
    <w:rsid w:val="002459A4"/>
    <w:rsid w:val="00252493"/>
    <w:rsid w:val="00252B1A"/>
    <w:rsid w:val="002554BB"/>
    <w:rsid w:val="0025676E"/>
    <w:rsid w:val="00256DDF"/>
    <w:rsid w:val="00257F3F"/>
    <w:rsid w:val="00264400"/>
    <w:rsid w:val="00264C06"/>
    <w:rsid w:val="00271E79"/>
    <w:rsid w:val="002726C2"/>
    <w:rsid w:val="00276750"/>
    <w:rsid w:val="002777A5"/>
    <w:rsid w:val="002833BB"/>
    <w:rsid w:val="00287ED3"/>
    <w:rsid w:val="002A23D5"/>
    <w:rsid w:val="002A3F9B"/>
    <w:rsid w:val="002A5369"/>
    <w:rsid w:val="002A6509"/>
    <w:rsid w:val="002A65DA"/>
    <w:rsid w:val="002B05E4"/>
    <w:rsid w:val="002B0F11"/>
    <w:rsid w:val="002B17A0"/>
    <w:rsid w:val="002B2C64"/>
    <w:rsid w:val="002B3E87"/>
    <w:rsid w:val="002B437B"/>
    <w:rsid w:val="002B4690"/>
    <w:rsid w:val="002B5108"/>
    <w:rsid w:val="002B69AD"/>
    <w:rsid w:val="002B74EA"/>
    <w:rsid w:val="002C188C"/>
    <w:rsid w:val="002C1CFD"/>
    <w:rsid w:val="002C2B9D"/>
    <w:rsid w:val="002C2CFF"/>
    <w:rsid w:val="002C764F"/>
    <w:rsid w:val="002D1082"/>
    <w:rsid w:val="002D2BAA"/>
    <w:rsid w:val="002D39A3"/>
    <w:rsid w:val="002D4901"/>
    <w:rsid w:val="002D4A16"/>
    <w:rsid w:val="002D6874"/>
    <w:rsid w:val="002E0F9A"/>
    <w:rsid w:val="002E2009"/>
    <w:rsid w:val="002E53DD"/>
    <w:rsid w:val="002E7007"/>
    <w:rsid w:val="002F0679"/>
    <w:rsid w:val="002F1530"/>
    <w:rsid w:val="002F3D85"/>
    <w:rsid w:val="002F3D99"/>
    <w:rsid w:val="002F6D15"/>
    <w:rsid w:val="00300162"/>
    <w:rsid w:val="003008EF"/>
    <w:rsid w:val="00300BA6"/>
    <w:rsid w:val="003018D7"/>
    <w:rsid w:val="003033AB"/>
    <w:rsid w:val="00303C45"/>
    <w:rsid w:val="00304051"/>
    <w:rsid w:val="0030538B"/>
    <w:rsid w:val="00306353"/>
    <w:rsid w:val="00313050"/>
    <w:rsid w:val="00315565"/>
    <w:rsid w:val="00315C3D"/>
    <w:rsid w:val="00320301"/>
    <w:rsid w:val="00320EDE"/>
    <w:rsid w:val="0032227E"/>
    <w:rsid w:val="00322B0F"/>
    <w:rsid w:val="003232BF"/>
    <w:rsid w:val="0032563B"/>
    <w:rsid w:val="00326CA1"/>
    <w:rsid w:val="003270B8"/>
    <w:rsid w:val="003270FA"/>
    <w:rsid w:val="00327779"/>
    <w:rsid w:val="003309A7"/>
    <w:rsid w:val="00330B32"/>
    <w:rsid w:val="00330E83"/>
    <w:rsid w:val="00331516"/>
    <w:rsid w:val="003320C4"/>
    <w:rsid w:val="00333794"/>
    <w:rsid w:val="00333ADC"/>
    <w:rsid w:val="003400F5"/>
    <w:rsid w:val="00341607"/>
    <w:rsid w:val="00343AE6"/>
    <w:rsid w:val="00344979"/>
    <w:rsid w:val="00344D5E"/>
    <w:rsid w:val="003476C4"/>
    <w:rsid w:val="00350726"/>
    <w:rsid w:val="00351EEE"/>
    <w:rsid w:val="0035373B"/>
    <w:rsid w:val="0035381B"/>
    <w:rsid w:val="0035395C"/>
    <w:rsid w:val="00356697"/>
    <w:rsid w:val="0036082C"/>
    <w:rsid w:val="00361D80"/>
    <w:rsid w:val="00362741"/>
    <w:rsid w:val="00362D39"/>
    <w:rsid w:val="003653C4"/>
    <w:rsid w:val="00365DD3"/>
    <w:rsid w:val="003677C4"/>
    <w:rsid w:val="00370454"/>
    <w:rsid w:val="00371465"/>
    <w:rsid w:val="0037159E"/>
    <w:rsid w:val="003823B4"/>
    <w:rsid w:val="003841A8"/>
    <w:rsid w:val="00384A90"/>
    <w:rsid w:val="00386B46"/>
    <w:rsid w:val="00391300"/>
    <w:rsid w:val="00393DF5"/>
    <w:rsid w:val="00394C32"/>
    <w:rsid w:val="003955F5"/>
    <w:rsid w:val="003A08EA"/>
    <w:rsid w:val="003A163C"/>
    <w:rsid w:val="003A2CD1"/>
    <w:rsid w:val="003A4BE3"/>
    <w:rsid w:val="003A67A5"/>
    <w:rsid w:val="003A7A25"/>
    <w:rsid w:val="003A7CF8"/>
    <w:rsid w:val="003B1040"/>
    <w:rsid w:val="003B19E6"/>
    <w:rsid w:val="003B1D43"/>
    <w:rsid w:val="003B2E68"/>
    <w:rsid w:val="003B3563"/>
    <w:rsid w:val="003B517D"/>
    <w:rsid w:val="003B5D50"/>
    <w:rsid w:val="003C3A90"/>
    <w:rsid w:val="003C4830"/>
    <w:rsid w:val="003C6304"/>
    <w:rsid w:val="003C72D0"/>
    <w:rsid w:val="003C77DC"/>
    <w:rsid w:val="003D41BE"/>
    <w:rsid w:val="003D5E7A"/>
    <w:rsid w:val="003D5E9A"/>
    <w:rsid w:val="003D76B7"/>
    <w:rsid w:val="003D7B12"/>
    <w:rsid w:val="003E003B"/>
    <w:rsid w:val="003E10E0"/>
    <w:rsid w:val="003E1254"/>
    <w:rsid w:val="003E1C7F"/>
    <w:rsid w:val="003E290C"/>
    <w:rsid w:val="003E36F3"/>
    <w:rsid w:val="003E378D"/>
    <w:rsid w:val="003E3B07"/>
    <w:rsid w:val="003E3FF9"/>
    <w:rsid w:val="003E461E"/>
    <w:rsid w:val="003E4CD6"/>
    <w:rsid w:val="003E5BC9"/>
    <w:rsid w:val="003E65DD"/>
    <w:rsid w:val="003E7E7B"/>
    <w:rsid w:val="003F2AAD"/>
    <w:rsid w:val="003F3B1B"/>
    <w:rsid w:val="003F44E4"/>
    <w:rsid w:val="004000B9"/>
    <w:rsid w:val="004000C4"/>
    <w:rsid w:val="004019EB"/>
    <w:rsid w:val="00402656"/>
    <w:rsid w:val="00403132"/>
    <w:rsid w:val="00403421"/>
    <w:rsid w:val="00404E87"/>
    <w:rsid w:val="004056B6"/>
    <w:rsid w:val="00410564"/>
    <w:rsid w:val="00410898"/>
    <w:rsid w:val="00410AE3"/>
    <w:rsid w:val="0041136E"/>
    <w:rsid w:val="00411DC2"/>
    <w:rsid w:val="00411ED6"/>
    <w:rsid w:val="00412C32"/>
    <w:rsid w:val="00412CF6"/>
    <w:rsid w:val="0041481B"/>
    <w:rsid w:val="004168DF"/>
    <w:rsid w:val="00420515"/>
    <w:rsid w:val="0042290F"/>
    <w:rsid w:val="00422CD5"/>
    <w:rsid w:val="00425333"/>
    <w:rsid w:val="00426F10"/>
    <w:rsid w:val="00427280"/>
    <w:rsid w:val="0042778D"/>
    <w:rsid w:val="00427F69"/>
    <w:rsid w:val="00436DBB"/>
    <w:rsid w:val="004376DD"/>
    <w:rsid w:val="004411E4"/>
    <w:rsid w:val="00441A1C"/>
    <w:rsid w:val="00442DC6"/>
    <w:rsid w:val="0044371E"/>
    <w:rsid w:val="004439D8"/>
    <w:rsid w:val="00443C86"/>
    <w:rsid w:val="00444C15"/>
    <w:rsid w:val="004452CD"/>
    <w:rsid w:val="004479FD"/>
    <w:rsid w:val="00451EFF"/>
    <w:rsid w:val="00452458"/>
    <w:rsid w:val="00452633"/>
    <w:rsid w:val="00453311"/>
    <w:rsid w:val="0045384A"/>
    <w:rsid w:val="00454B1A"/>
    <w:rsid w:val="00455D60"/>
    <w:rsid w:val="00456536"/>
    <w:rsid w:val="004568D9"/>
    <w:rsid w:val="004568F6"/>
    <w:rsid w:val="00460AD0"/>
    <w:rsid w:val="00461785"/>
    <w:rsid w:val="00462084"/>
    <w:rsid w:val="004625EE"/>
    <w:rsid w:val="00470589"/>
    <w:rsid w:val="00471F01"/>
    <w:rsid w:val="0047243B"/>
    <w:rsid w:val="0047291E"/>
    <w:rsid w:val="00472AB6"/>
    <w:rsid w:val="004730D1"/>
    <w:rsid w:val="00474CDB"/>
    <w:rsid w:val="004765E6"/>
    <w:rsid w:val="00476E3E"/>
    <w:rsid w:val="004821F9"/>
    <w:rsid w:val="004825EA"/>
    <w:rsid w:val="00483777"/>
    <w:rsid w:val="00485E36"/>
    <w:rsid w:val="0048674B"/>
    <w:rsid w:val="00490415"/>
    <w:rsid w:val="00491190"/>
    <w:rsid w:val="00491542"/>
    <w:rsid w:val="00492468"/>
    <w:rsid w:val="00492AEF"/>
    <w:rsid w:val="00493BCC"/>
    <w:rsid w:val="00493F10"/>
    <w:rsid w:val="00496096"/>
    <w:rsid w:val="004962A6"/>
    <w:rsid w:val="004A055B"/>
    <w:rsid w:val="004A0A2C"/>
    <w:rsid w:val="004A1BFD"/>
    <w:rsid w:val="004A2727"/>
    <w:rsid w:val="004A28D8"/>
    <w:rsid w:val="004A30C7"/>
    <w:rsid w:val="004A36D0"/>
    <w:rsid w:val="004A4418"/>
    <w:rsid w:val="004A6EB4"/>
    <w:rsid w:val="004B12A1"/>
    <w:rsid w:val="004B2567"/>
    <w:rsid w:val="004B32C3"/>
    <w:rsid w:val="004B346C"/>
    <w:rsid w:val="004B3F96"/>
    <w:rsid w:val="004B4602"/>
    <w:rsid w:val="004B55B0"/>
    <w:rsid w:val="004B57B2"/>
    <w:rsid w:val="004B63C5"/>
    <w:rsid w:val="004B6976"/>
    <w:rsid w:val="004B6E35"/>
    <w:rsid w:val="004C1888"/>
    <w:rsid w:val="004C23B7"/>
    <w:rsid w:val="004C5442"/>
    <w:rsid w:val="004C6510"/>
    <w:rsid w:val="004C6E2F"/>
    <w:rsid w:val="004D2BA4"/>
    <w:rsid w:val="004D352E"/>
    <w:rsid w:val="004D5666"/>
    <w:rsid w:val="004D6482"/>
    <w:rsid w:val="004D6A89"/>
    <w:rsid w:val="004D717C"/>
    <w:rsid w:val="004D7389"/>
    <w:rsid w:val="004D7861"/>
    <w:rsid w:val="004E42A1"/>
    <w:rsid w:val="004E4B2B"/>
    <w:rsid w:val="004E5FF6"/>
    <w:rsid w:val="004E6A0A"/>
    <w:rsid w:val="004E6EA1"/>
    <w:rsid w:val="004F2363"/>
    <w:rsid w:val="004F2A2D"/>
    <w:rsid w:val="004F2BB9"/>
    <w:rsid w:val="004F3643"/>
    <w:rsid w:val="004F5A31"/>
    <w:rsid w:val="004F6977"/>
    <w:rsid w:val="004F7AB7"/>
    <w:rsid w:val="004F7EDE"/>
    <w:rsid w:val="00501EDC"/>
    <w:rsid w:val="00502726"/>
    <w:rsid w:val="005030CB"/>
    <w:rsid w:val="0050362A"/>
    <w:rsid w:val="005038C1"/>
    <w:rsid w:val="005046CC"/>
    <w:rsid w:val="0050480E"/>
    <w:rsid w:val="00504BDC"/>
    <w:rsid w:val="00505179"/>
    <w:rsid w:val="005070FD"/>
    <w:rsid w:val="00507D84"/>
    <w:rsid w:val="005100B3"/>
    <w:rsid w:val="005123CF"/>
    <w:rsid w:val="00515379"/>
    <w:rsid w:val="00515AD3"/>
    <w:rsid w:val="0051621B"/>
    <w:rsid w:val="00517FD7"/>
    <w:rsid w:val="005207B0"/>
    <w:rsid w:val="00523E5D"/>
    <w:rsid w:val="005244C5"/>
    <w:rsid w:val="0052486E"/>
    <w:rsid w:val="0052516D"/>
    <w:rsid w:val="00525703"/>
    <w:rsid w:val="00525F35"/>
    <w:rsid w:val="00526216"/>
    <w:rsid w:val="005268F6"/>
    <w:rsid w:val="00530854"/>
    <w:rsid w:val="00531A91"/>
    <w:rsid w:val="00531CBF"/>
    <w:rsid w:val="00532429"/>
    <w:rsid w:val="00532948"/>
    <w:rsid w:val="00532F0C"/>
    <w:rsid w:val="005330C3"/>
    <w:rsid w:val="00533559"/>
    <w:rsid w:val="00535C47"/>
    <w:rsid w:val="00536D51"/>
    <w:rsid w:val="00537419"/>
    <w:rsid w:val="00537F72"/>
    <w:rsid w:val="00541577"/>
    <w:rsid w:val="005415A7"/>
    <w:rsid w:val="00544AC6"/>
    <w:rsid w:val="0054733A"/>
    <w:rsid w:val="00547AEB"/>
    <w:rsid w:val="00554026"/>
    <w:rsid w:val="0055463A"/>
    <w:rsid w:val="005551F5"/>
    <w:rsid w:val="005553EC"/>
    <w:rsid w:val="00556195"/>
    <w:rsid w:val="00557273"/>
    <w:rsid w:val="00562449"/>
    <w:rsid w:val="00562AF5"/>
    <w:rsid w:val="0056531B"/>
    <w:rsid w:val="005704E6"/>
    <w:rsid w:val="00571840"/>
    <w:rsid w:val="00571BEF"/>
    <w:rsid w:val="00573B40"/>
    <w:rsid w:val="00573E53"/>
    <w:rsid w:val="00577AB7"/>
    <w:rsid w:val="00580095"/>
    <w:rsid w:val="005806E1"/>
    <w:rsid w:val="0058284D"/>
    <w:rsid w:val="00584D18"/>
    <w:rsid w:val="005850D0"/>
    <w:rsid w:val="00585308"/>
    <w:rsid w:val="005862B2"/>
    <w:rsid w:val="00586ABF"/>
    <w:rsid w:val="00587049"/>
    <w:rsid w:val="005903E7"/>
    <w:rsid w:val="00590840"/>
    <w:rsid w:val="00591088"/>
    <w:rsid w:val="00593232"/>
    <w:rsid w:val="0059571D"/>
    <w:rsid w:val="005960B9"/>
    <w:rsid w:val="00596648"/>
    <w:rsid w:val="005A0AC8"/>
    <w:rsid w:val="005A2D3F"/>
    <w:rsid w:val="005A5124"/>
    <w:rsid w:val="005A56F4"/>
    <w:rsid w:val="005A5A16"/>
    <w:rsid w:val="005A5EE9"/>
    <w:rsid w:val="005A6174"/>
    <w:rsid w:val="005A7BA3"/>
    <w:rsid w:val="005B416F"/>
    <w:rsid w:val="005B4A69"/>
    <w:rsid w:val="005B653E"/>
    <w:rsid w:val="005C03D5"/>
    <w:rsid w:val="005C0EE5"/>
    <w:rsid w:val="005C1501"/>
    <w:rsid w:val="005C43A5"/>
    <w:rsid w:val="005C474F"/>
    <w:rsid w:val="005C536A"/>
    <w:rsid w:val="005C5736"/>
    <w:rsid w:val="005C5E86"/>
    <w:rsid w:val="005D10BB"/>
    <w:rsid w:val="005D18FF"/>
    <w:rsid w:val="005D1B11"/>
    <w:rsid w:val="005D4888"/>
    <w:rsid w:val="005D583A"/>
    <w:rsid w:val="005D6892"/>
    <w:rsid w:val="005D77F6"/>
    <w:rsid w:val="005D788A"/>
    <w:rsid w:val="005E196E"/>
    <w:rsid w:val="005E28D7"/>
    <w:rsid w:val="005E5FD7"/>
    <w:rsid w:val="005F0E39"/>
    <w:rsid w:val="005F2145"/>
    <w:rsid w:val="005F321E"/>
    <w:rsid w:val="005F433D"/>
    <w:rsid w:val="005F453D"/>
    <w:rsid w:val="005F5096"/>
    <w:rsid w:val="005F7E9F"/>
    <w:rsid w:val="00600218"/>
    <w:rsid w:val="006038DD"/>
    <w:rsid w:val="0060444B"/>
    <w:rsid w:val="006049E6"/>
    <w:rsid w:val="00606232"/>
    <w:rsid w:val="0060629F"/>
    <w:rsid w:val="006118BB"/>
    <w:rsid w:val="006130C3"/>
    <w:rsid w:val="006131B4"/>
    <w:rsid w:val="0061381D"/>
    <w:rsid w:val="00613C69"/>
    <w:rsid w:val="006156D9"/>
    <w:rsid w:val="0062001C"/>
    <w:rsid w:val="00621EDE"/>
    <w:rsid w:val="0062268E"/>
    <w:rsid w:val="00622B37"/>
    <w:rsid w:val="006237E7"/>
    <w:rsid w:val="00623D11"/>
    <w:rsid w:val="00623F2D"/>
    <w:rsid w:val="00625D92"/>
    <w:rsid w:val="00627400"/>
    <w:rsid w:val="006277E6"/>
    <w:rsid w:val="006319A4"/>
    <w:rsid w:val="006323C5"/>
    <w:rsid w:val="0063257C"/>
    <w:rsid w:val="006333D7"/>
    <w:rsid w:val="00634600"/>
    <w:rsid w:val="00634D55"/>
    <w:rsid w:val="006360CD"/>
    <w:rsid w:val="00636AE9"/>
    <w:rsid w:val="006402A5"/>
    <w:rsid w:val="0064094B"/>
    <w:rsid w:val="00640BBC"/>
    <w:rsid w:val="006441D5"/>
    <w:rsid w:val="006444AD"/>
    <w:rsid w:val="00645CCA"/>
    <w:rsid w:val="0064715F"/>
    <w:rsid w:val="00653ABC"/>
    <w:rsid w:val="00654CBC"/>
    <w:rsid w:val="006557EE"/>
    <w:rsid w:val="00655A65"/>
    <w:rsid w:val="0065766D"/>
    <w:rsid w:val="00660FBB"/>
    <w:rsid w:val="00661369"/>
    <w:rsid w:val="00663285"/>
    <w:rsid w:val="006703B0"/>
    <w:rsid w:val="006735D3"/>
    <w:rsid w:val="00674AF6"/>
    <w:rsid w:val="00677D92"/>
    <w:rsid w:val="00677E7C"/>
    <w:rsid w:val="00677F64"/>
    <w:rsid w:val="006818E9"/>
    <w:rsid w:val="006826B3"/>
    <w:rsid w:val="00682757"/>
    <w:rsid w:val="00682C02"/>
    <w:rsid w:val="00682F44"/>
    <w:rsid w:val="006831D4"/>
    <w:rsid w:val="00686974"/>
    <w:rsid w:val="0069223A"/>
    <w:rsid w:val="006922B1"/>
    <w:rsid w:val="0069359C"/>
    <w:rsid w:val="0069383D"/>
    <w:rsid w:val="00693E2C"/>
    <w:rsid w:val="006942A7"/>
    <w:rsid w:val="00697579"/>
    <w:rsid w:val="00697B83"/>
    <w:rsid w:val="006A06CD"/>
    <w:rsid w:val="006A12C7"/>
    <w:rsid w:val="006A1503"/>
    <w:rsid w:val="006A3E20"/>
    <w:rsid w:val="006A4118"/>
    <w:rsid w:val="006A6C24"/>
    <w:rsid w:val="006A7079"/>
    <w:rsid w:val="006B4C47"/>
    <w:rsid w:val="006B5471"/>
    <w:rsid w:val="006C25AF"/>
    <w:rsid w:val="006C4762"/>
    <w:rsid w:val="006C4AFA"/>
    <w:rsid w:val="006C4E55"/>
    <w:rsid w:val="006C67E6"/>
    <w:rsid w:val="006C6E2A"/>
    <w:rsid w:val="006C7C08"/>
    <w:rsid w:val="006D12CB"/>
    <w:rsid w:val="006D3035"/>
    <w:rsid w:val="006E06B6"/>
    <w:rsid w:val="006E2E11"/>
    <w:rsid w:val="006E427B"/>
    <w:rsid w:val="006E61B5"/>
    <w:rsid w:val="006E6414"/>
    <w:rsid w:val="006E779F"/>
    <w:rsid w:val="006F041E"/>
    <w:rsid w:val="006F19B3"/>
    <w:rsid w:val="006F2D29"/>
    <w:rsid w:val="006F3A9A"/>
    <w:rsid w:val="006F3AC0"/>
    <w:rsid w:val="006F689C"/>
    <w:rsid w:val="006F7724"/>
    <w:rsid w:val="006F7A63"/>
    <w:rsid w:val="007023C9"/>
    <w:rsid w:val="007027D7"/>
    <w:rsid w:val="00703529"/>
    <w:rsid w:val="007045F5"/>
    <w:rsid w:val="007055EB"/>
    <w:rsid w:val="00705DBB"/>
    <w:rsid w:val="00705DEE"/>
    <w:rsid w:val="007071D8"/>
    <w:rsid w:val="00707530"/>
    <w:rsid w:val="00710F65"/>
    <w:rsid w:val="00711EE8"/>
    <w:rsid w:val="00713D27"/>
    <w:rsid w:val="00715F26"/>
    <w:rsid w:val="00721FFF"/>
    <w:rsid w:val="007229D9"/>
    <w:rsid w:val="00723669"/>
    <w:rsid w:val="007241A3"/>
    <w:rsid w:val="007254E8"/>
    <w:rsid w:val="00732A00"/>
    <w:rsid w:val="00734DBE"/>
    <w:rsid w:val="007364AB"/>
    <w:rsid w:val="00740342"/>
    <w:rsid w:val="0074056A"/>
    <w:rsid w:val="00742A29"/>
    <w:rsid w:val="00742E61"/>
    <w:rsid w:val="00744AB7"/>
    <w:rsid w:val="00744B97"/>
    <w:rsid w:val="0074500A"/>
    <w:rsid w:val="00746886"/>
    <w:rsid w:val="007515B2"/>
    <w:rsid w:val="00751854"/>
    <w:rsid w:val="00754925"/>
    <w:rsid w:val="007556CF"/>
    <w:rsid w:val="00755A86"/>
    <w:rsid w:val="00757052"/>
    <w:rsid w:val="00757F4C"/>
    <w:rsid w:val="007609F8"/>
    <w:rsid w:val="00761C32"/>
    <w:rsid w:val="00763386"/>
    <w:rsid w:val="007634CE"/>
    <w:rsid w:val="00764F1D"/>
    <w:rsid w:val="00767C7D"/>
    <w:rsid w:val="00767C93"/>
    <w:rsid w:val="007704D9"/>
    <w:rsid w:val="00770E76"/>
    <w:rsid w:val="007710B3"/>
    <w:rsid w:val="00773040"/>
    <w:rsid w:val="00774407"/>
    <w:rsid w:val="00774855"/>
    <w:rsid w:val="00774D32"/>
    <w:rsid w:val="00775546"/>
    <w:rsid w:val="00775DAA"/>
    <w:rsid w:val="00776DD6"/>
    <w:rsid w:val="00777BB2"/>
    <w:rsid w:val="007802D8"/>
    <w:rsid w:val="007806E9"/>
    <w:rsid w:val="00783E5B"/>
    <w:rsid w:val="007846CE"/>
    <w:rsid w:val="00785170"/>
    <w:rsid w:val="007905A2"/>
    <w:rsid w:val="007908CF"/>
    <w:rsid w:val="00791E48"/>
    <w:rsid w:val="00792694"/>
    <w:rsid w:val="00796A28"/>
    <w:rsid w:val="00796B56"/>
    <w:rsid w:val="007A11AF"/>
    <w:rsid w:val="007A246E"/>
    <w:rsid w:val="007A2D87"/>
    <w:rsid w:val="007A4213"/>
    <w:rsid w:val="007A49B1"/>
    <w:rsid w:val="007A6DEE"/>
    <w:rsid w:val="007C1320"/>
    <w:rsid w:val="007C270F"/>
    <w:rsid w:val="007C5012"/>
    <w:rsid w:val="007C50E3"/>
    <w:rsid w:val="007C5F1D"/>
    <w:rsid w:val="007D318D"/>
    <w:rsid w:val="007D3ED8"/>
    <w:rsid w:val="007D4718"/>
    <w:rsid w:val="007E1434"/>
    <w:rsid w:val="007E2B33"/>
    <w:rsid w:val="007E5124"/>
    <w:rsid w:val="007E5812"/>
    <w:rsid w:val="007E7999"/>
    <w:rsid w:val="007F114E"/>
    <w:rsid w:val="007F4779"/>
    <w:rsid w:val="007F759D"/>
    <w:rsid w:val="00801B69"/>
    <w:rsid w:val="00804D08"/>
    <w:rsid w:val="00804E50"/>
    <w:rsid w:val="008052AB"/>
    <w:rsid w:val="008063C2"/>
    <w:rsid w:val="008064CA"/>
    <w:rsid w:val="00810271"/>
    <w:rsid w:val="00813B16"/>
    <w:rsid w:val="00815842"/>
    <w:rsid w:val="00815A54"/>
    <w:rsid w:val="00816A78"/>
    <w:rsid w:val="00816AF7"/>
    <w:rsid w:val="0082027F"/>
    <w:rsid w:val="00821986"/>
    <w:rsid w:val="008252B7"/>
    <w:rsid w:val="00826532"/>
    <w:rsid w:val="008273D7"/>
    <w:rsid w:val="00831765"/>
    <w:rsid w:val="008336D0"/>
    <w:rsid w:val="008352EF"/>
    <w:rsid w:val="008363BC"/>
    <w:rsid w:val="00836B51"/>
    <w:rsid w:val="008370B4"/>
    <w:rsid w:val="00837FBD"/>
    <w:rsid w:val="008401DA"/>
    <w:rsid w:val="008505E8"/>
    <w:rsid w:val="0085234D"/>
    <w:rsid w:val="00854966"/>
    <w:rsid w:val="00856AA2"/>
    <w:rsid w:val="00857A6D"/>
    <w:rsid w:val="00860FE3"/>
    <w:rsid w:val="008610D3"/>
    <w:rsid w:val="00861A07"/>
    <w:rsid w:val="00862B29"/>
    <w:rsid w:val="00862CDC"/>
    <w:rsid w:val="008638C6"/>
    <w:rsid w:val="008668F0"/>
    <w:rsid w:val="00866DC1"/>
    <w:rsid w:val="008732F6"/>
    <w:rsid w:val="0087330B"/>
    <w:rsid w:val="00873B39"/>
    <w:rsid w:val="00875A70"/>
    <w:rsid w:val="008771F9"/>
    <w:rsid w:val="008778B2"/>
    <w:rsid w:val="00877A1C"/>
    <w:rsid w:val="00884EAF"/>
    <w:rsid w:val="00887A2D"/>
    <w:rsid w:val="00890723"/>
    <w:rsid w:val="00890AE0"/>
    <w:rsid w:val="00891F69"/>
    <w:rsid w:val="008963A9"/>
    <w:rsid w:val="00896B5E"/>
    <w:rsid w:val="00897294"/>
    <w:rsid w:val="008A044E"/>
    <w:rsid w:val="008A176C"/>
    <w:rsid w:val="008A186B"/>
    <w:rsid w:val="008A2C55"/>
    <w:rsid w:val="008A3830"/>
    <w:rsid w:val="008B207F"/>
    <w:rsid w:val="008B2B30"/>
    <w:rsid w:val="008B442B"/>
    <w:rsid w:val="008B4B7A"/>
    <w:rsid w:val="008B5131"/>
    <w:rsid w:val="008B56D2"/>
    <w:rsid w:val="008B7965"/>
    <w:rsid w:val="008C45CC"/>
    <w:rsid w:val="008C4C67"/>
    <w:rsid w:val="008C4C6E"/>
    <w:rsid w:val="008C6109"/>
    <w:rsid w:val="008C6698"/>
    <w:rsid w:val="008C6D5F"/>
    <w:rsid w:val="008D004A"/>
    <w:rsid w:val="008D06BC"/>
    <w:rsid w:val="008D072E"/>
    <w:rsid w:val="008D2AED"/>
    <w:rsid w:val="008D3078"/>
    <w:rsid w:val="008D428A"/>
    <w:rsid w:val="008D6090"/>
    <w:rsid w:val="008D6179"/>
    <w:rsid w:val="008D7370"/>
    <w:rsid w:val="008D7590"/>
    <w:rsid w:val="008E03A6"/>
    <w:rsid w:val="008E2041"/>
    <w:rsid w:val="008E3FBA"/>
    <w:rsid w:val="008E6ABA"/>
    <w:rsid w:val="008E7AB4"/>
    <w:rsid w:val="008F501A"/>
    <w:rsid w:val="008F5584"/>
    <w:rsid w:val="008F57C3"/>
    <w:rsid w:val="008F7A42"/>
    <w:rsid w:val="00901129"/>
    <w:rsid w:val="00902DD3"/>
    <w:rsid w:val="00903326"/>
    <w:rsid w:val="00906439"/>
    <w:rsid w:val="0090646F"/>
    <w:rsid w:val="00911488"/>
    <w:rsid w:val="00911AC3"/>
    <w:rsid w:val="00911F67"/>
    <w:rsid w:val="00914747"/>
    <w:rsid w:val="009156D3"/>
    <w:rsid w:val="00915B2F"/>
    <w:rsid w:val="009169EF"/>
    <w:rsid w:val="00916AE1"/>
    <w:rsid w:val="009175C0"/>
    <w:rsid w:val="00917819"/>
    <w:rsid w:val="00922BEA"/>
    <w:rsid w:val="00924928"/>
    <w:rsid w:val="00924D5C"/>
    <w:rsid w:val="00925DA8"/>
    <w:rsid w:val="009306A8"/>
    <w:rsid w:val="009310A7"/>
    <w:rsid w:val="00931E69"/>
    <w:rsid w:val="00935E55"/>
    <w:rsid w:val="00941028"/>
    <w:rsid w:val="00941DA0"/>
    <w:rsid w:val="00944E83"/>
    <w:rsid w:val="009451E4"/>
    <w:rsid w:val="0094607A"/>
    <w:rsid w:val="009462F6"/>
    <w:rsid w:val="00950D7E"/>
    <w:rsid w:val="00951342"/>
    <w:rsid w:val="00951AD0"/>
    <w:rsid w:val="00952394"/>
    <w:rsid w:val="00953D43"/>
    <w:rsid w:val="009570E3"/>
    <w:rsid w:val="00962C7C"/>
    <w:rsid w:val="00962D11"/>
    <w:rsid w:val="00963341"/>
    <w:rsid w:val="009666CE"/>
    <w:rsid w:val="009669F9"/>
    <w:rsid w:val="00966E60"/>
    <w:rsid w:val="009717C3"/>
    <w:rsid w:val="009748AE"/>
    <w:rsid w:val="00974CB9"/>
    <w:rsid w:val="00976345"/>
    <w:rsid w:val="00976A39"/>
    <w:rsid w:val="00977999"/>
    <w:rsid w:val="00977D60"/>
    <w:rsid w:val="00981106"/>
    <w:rsid w:val="00982115"/>
    <w:rsid w:val="009842AF"/>
    <w:rsid w:val="00987B1F"/>
    <w:rsid w:val="00993082"/>
    <w:rsid w:val="00994557"/>
    <w:rsid w:val="009950E1"/>
    <w:rsid w:val="009A0633"/>
    <w:rsid w:val="009A09A0"/>
    <w:rsid w:val="009A1D8A"/>
    <w:rsid w:val="009A4135"/>
    <w:rsid w:val="009A4C7E"/>
    <w:rsid w:val="009A4FB1"/>
    <w:rsid w:val="009A571A"/>
    <w:rsid w:val="009A7AB2"/>
    <w:rsid w:val="009B2E93"/>
    <w:rsid w:val="009B368F"/>
    <w:rsid w:val="009B73E9"/>
    <w:rsid w:val="009C2482"/>
    <w:rsid w:val="009C463C"/>
    <w:rsid w:val="009D1489"/>
    <w:rsid w:val="009D48AF"/>
    <w:rsid w:val="009D4980"/>
    <w:rsid w:val="009E11A6"/>
    <w:rsid w:val="009E181E"/>
    <w:rsid w:val="009E1959"/>
    <w:rsid w:val="009E1D06"/>
    <w:rsid w:val="009E276B"/>
    <w:rsid w:val="009E592F"/>
    <w:rsid w:val="009E7AB5"/>
    <w:rsid w:val="009F0B07"/>
    <w:rsid w:val="009F2286"/>
    <w:rsid w:val="009F4C6C"/>
    <w:rsid w:val="009F510F"/>
    <w:rsid w:val="009F5E28"/>
    <w:rsid w:val="009F7900"/>
    <w:rsid w:val="009F7F42"/>
    <w:rsid w:val="00A01574"/>
    <w:rsid w:val="00A01B30"/>
    <w:rsid w:val="00A0242F"/>
    <w:rsid w:val="00A02D4B"/>
    <w:rsid w:val="00A033DC"/>
    <w:rsid w:val="00A0420F"/>
    <w:rsid w:val="00A0422D"/>
    <w:rsid w:val="00A05192"/>
    <w:rsid w:val="00A05729"/>
    <w:rsid w:val="00A073F0"/>
    <w:rsid w:val="00A102B7"/>
    <w:rsid w:val="00A118A5"/>
    <w:rsid w:val="00A12592"/>
    <w:rsid w:val="00A141AA"/>
    <w:rsid w:val="00A14B46"/>
    <w:rsid w:val="00A14BB3"/>
    <w:rsid w:val="00A16355"/>
    <w:rsid w:val="00A178E5"/>
    <w:rsid w:val="00A22280"/>
    <w:rsid w:val="00A2654C"/>
    <w:rsid w:val="00A2765D"/>
    <w:rsid w:val="00A2788F"/>
    <w:rsid w:val="00A27AB0"/>
    <w:rsid w:val="00A27D4B"/>
    <w:rsid w:val="00A314EB"/>
    <w:rsid w:val="00A32887"/>
    <w:rsid w:val="00A32F82"/>
    <w:rsid w:val="00A34F6F"/>
    <w:rsid w:val="00A36B2A"/>
    <w:rsid w:val="00A43C51"/>
    <w:rsid w:val="00A44B13"/>
    <w:rsid w:val="00A455A3"/>
    <w:rsid w:val="00A476D0"/>
    <w:rsid w:val="00A5020E"/>
    <w:rsid w:val="00A54565"/>
    <w:rsid w:val="00A5458E"/>
    <w:rsid w:val="00A577B0"/>
    <w:rsid w:val="00A577D1"/>
    <w:rsid w:val="00A6009A"/>
    <w:rsid w:val="00A607CF"/>
    <w:rsid w:val="00A60F53"/>
    <w:rsid w:val="00A61661"/>
    <w:rsid w:val="00A6382A"/>
    <w:rsid w:val="00A63DD9"/>
    <w:rsid w:val="00A6529B"/>
    <w:rsid w:val="00A656AA"/>
    <w:rsid w:val="00A65AD0"/>
    <w:rsid w:val="00A65CB7"/>
    <w:rsid w:val="00A67B1E"/>
    <w:rsid w:val="00A70CFC"/>
    <w:rsid w:val="00A71761"/>
    <w:rsid w:val="00A71D1D"/>
    <w:rsid w:val="00A722FE"/>
    <w:rsid w:val="00A72DFD"/>
    <w:rsid w:val="00A733B0"/>
    <w:rsid w:val="00A769A8"/>
    <w:rsid w:val="00A80A41"/>
    <w:rsid w:val="00A80F7A"/>
    <w:rsid w:val="00A81C4B"/>
    <w:rsid w:val="00A81F44"/>
    <w:rsid w:val="00A82950"/>
    <w:rsid w:val="00A82BAE"/>
    <w:rsid w:val="00A83A71"/>
    <w:rsid w:val="00A84BE2"/>
    <w:rsid w:val="00A85869"/>
    <w:rsid w:val="00A86702"/>
    <w:rsid w:val="00A86D31"/>
    <w:rsid w:val="00A90957"/>
    <w:rsid w:val="00A918D6"/>
    <w:rsid w:val="00A91FB2"/>
    <w:rsid w:val="00A953C0"/>
    <w:rsid w:val="00A95484"/>
    <w:rsid w:val="00A97E99"/>
    <w:rsid w:val="00A97F01"/>
    <w:rsid w:val="00AA1003"/>
    <w:rsid w:val="00AA1F4B"/>
    <w:rsid w:val="00AA1F5A"/>
    <w:rsid w:val="00AA4898"/>
    <w:rsid w:val="00AA4E4F"/>
    <w:rsid w:val="00AA52F6"/>
    <w:rsid w:val="00AA5B16"/>
    <w:rsid w:val="00AA6E41"/>
    <w:rsid w:val="00AB22D0"/>
    <w:rsid w:val="00AB2407"/>
    <w:rsid w:val="00AB2612"/>
    <w:rsid w:val="00AB34F2"/>
    <w:rsid w:val="00AB3FEF"/>
    <w:rsid w:val="00AB4F76"/>
    <w:rsid w:val="00AB6D43"/>
    <w:rsid w:val="00AB7996"/>
    <w:rsid w:val="00AB7A3A"/>
    <w:rsid w:val="00AB7AFC"/>
    <w:rsid w:val="00AC1D5C"/>
    <w:rsid w:val="00AC2A01"/>
    <w:rsid w:val="00AC5F6C"/>
    <w:rsid w:val="00AC7323"/>
    <w:rsid w:val="00AD4CBE"/>
    <w:rsid w:val="00AD6D57"/>
    <w:rsid w:val="00AE0EF3"/>
    <w:rsid w:val="00AE2001"/>
    <w:rsid w:val="00AE3944"/>
    <w:rsid w:val="00AE3FAE"/>
    <w:rsid w:val="00AE4684"/>
    <w:rsid w:val="00AE578E"/>
    <w:rsid w:val="00AE61C8"/>
    <w:rsid w:val="00AE732C"/>
    <w:rsid w:val="00AE7A92"/>
    <w:rsid w:val="00AE7FD8"/>
    <w:rsid w:val="00AF166C"/>
    <w:rsid w:val="00AF30F1"/>
    <w:rsid w:val="00AF5133"/>
    <w:rsid w:val="00AF68EC"/>
    <w:rsid w:val="00AF728D"/>
    <w:rsid w:val="00AF72B0"/>
    <w:rsid w:val="00AF7F21"/>
    <w:rsid w:val="00B00C96"/>
    <w:rsid w:val="00B00DFE"/>
    <w:rsid w:val="00B00E14"/>
    <w:rsid w:val="00B029AE"/>
    <w:rsid w:val="00B02F77"/>
    <w:rsid w:val="00B04BEF"/>
    <w:rsid w:val="00B102F0"/>
    <w:rsid w:val="00B103BF"/>
    <w:rsid w:val="00B12F3C"/>
    <w:rsid w:val="00B13549"/>
    <w:rsid w:val="00B15B6A"/>
    <w:rsid w:val="00B1707D"/>
    <w:rsid w:val="00B17FA2"/>
    <w:rsid w:val="00B20043"/>
    <w:rsid w:val="00B21D0A"/>
    <w:rsid w:val="00B23DB4"/>
    <w:rsid w:val="00B258F8"/>
    <w:rsid w:val="00B268F7"/>
    <w:rsid w:val="00B3027A"/>
    <w:rsid w:val="00B3094F"/>
    <w:rsid w:val="00B309AD"/>
    <w:rsid w:val="00B30AA4"/>
    <w:rsid w:val="00B311B7"/>
    <w:rsid w:val="00B31D9E"/>
    <w:rsid w:val="00B328F2"/>
    <w:rsid w:val="00B33209"/>
    <w:rsid w:val="00B34D81"/>
    <w:rsid w:val="00B34FF6"/>
    <w:rsid w:val="00B36A91"/>
    <w:rsid w:val="00B36AEB"/>
    <w:rsid w:val="00B37231"/>
    <w:rsid w:val="00B4040E"/>
    <w:rsid w:val="00B42A75"/>
    <w:rsid w:val="00B46705"/>
    <w:rsid w:val="00B526BB"/>
    <w:rsid w:val="00B55590"/>
    <w:rsid w:val="00B600BA"/>
    <w:rsid w:val="00B609D9"/>
    <w:rsid w:val="00B611FD"/>
    <w:rsid w:val="00B61267"/>
    <w:rsid w:val="00B613F0"/>
    <w:rsid w:val="00B61A39"/>
    <w:rsid w:val="00B61BDE"/>
    <w:rsid w:val="00B61D5F"/>
    <w:rsid w:val="00B63B43"/>
    <w:rsid w:val="00B65215"/>
    <w:rsid w:val="00B711AD"/>
    <w:rsid w:val="00B71C18"/>
    <w:rsid w:val="00B7362D"/>
    <w:rsid w:val="00B758B3"/>
    <w:rsid w:val="00B75C2F"/>
    <w:rsid w:val="00B81689"/>
    <w:rsid w:val="00B81E53"/>
    <w:rsid w:val="00B82992"/>
    <w:rsid w:val="00B83065"/>
    <w:rsid w:val="00B8487F"/>
    <w:rsid w:val="00B86C49"/>
    <w:rsid w:val="00B8759E"/>
    <w:rsid w:val="00B90D8F"/>
    <w:rsid w:val="00B929E7"/>
    <w:rsid w:val="00B939F5"/>
    <w:rsid w:val="00B93DAB"/>
    <w:rsid w:val="00B9452A"/>
    <w:rsid w:val="00B97612"/>
    <w:rsid w:val="00BA213E"/>
    <w:rsid w:val="00BA3A76"/>
    <w:rsid w:val="00BA42F8"/>
    <w:rsid w:val="00BA50E8"/>
    <w:rsid w:val="00BA5B15"/>
    <w:rsid w:val="00BA6D17"/>
    <w:rsid w:val="00BA79F5"/>
    <w:rsid w:val="00BA7C32"/>
    <w:rsid w:val="00BB1D33"/>
    <w:rsid w:val="00BB265D"/>
    <w:rsid w:val="00BB394F"/>
    <w:rsid w:val="00BB39D1"/>
    <w:rsid w:val="00BB5006"/>
    <w:rsid w:val="00BB5238"/>
    <w:rsid w:val="00BC10E8"/>
    <w:rsid w:val="00BC1F61"/>
    <w:rsid w:val="00BC2273"/>
    <w:rsid w:val="00BC3438"/>
    <w:rsid w:val="00BC574F"/>
    <w:rsid w:val="00BD1253"/>
    <w:rsid w:val="00BE0427"/>
    <w:rsid w:val="00BE089E"/>
    <w:rsid w:val="00BE1975"/>
    <w:rsid w:val="00BE743B"/>
    <w:rsid w:val="00BE76DC"/>
    <w:rsid w:val="00BF23DE"/>
    <w:rsid w:val="00BF2EEB"/>
    <w:rsid w:val="00BF696D"/>
    <w:rsid w:val="00C00E84"/>
    <w:rsid w:val="00C03E31"/>
    <w:rsid w:val="00C04833"/>
    <w:rsid w:val="00C0539F"/>
    <w:rsid w:val="00C069A7"/>
    <w:rsid w:val="00C06F58"/>
    <w:rsid w:val="00C10036"/>
    <w:rsid w:val="00C128BF"/>
    <w:rsid w:val="00C130DE"/>
    <w:rsid w:val="00C16688"/>
    <w:rsid w:val="00C1689D"/>
    <w:rsid w:val="00C17507"/>
    <w:rsid w:val="00C17732"/>
    <w:rsid w:val="00C17CA7"/>
    <w:rsid w:val="00C203B8"/>
    <w:rsid w:val="00C20BB1"/>
    <w:rsid w:val="00C20E65"/>
    <w:rsid w:val="00C214B1"/>
    <w:rsid w:val="00C23A92"/>
    <w:rsid w:val="00C23B29"/>
    <w:rsid w:val="00C23B7B"/>
    <w:rsid w:val="00C24EFD"/>
    <w:rsid w:val="00C261E3"/>
    <w:rsid w:val="00C305D3"/>
    <w:rsid w:val="00C31834"/>
    <w:rsid w:val="00C362C4"/>
    <w:rsid w:val="00C375B1"/>
    <w:rsid w:val="00C411CE"/>
    <w:rsid w:val="00C415AA"/>
    <w:rsid w:val="00C42049"/>
    <w:rsid w:val="00C43080"/>
    <w:rsid w:val="00C43D04"/>
    <w:rsid w:val="00C441D7"/>
    <w:rsid w:val="00C4501E"/>
    <w:rsid w:val="00C46E09"/>
    <w:rsid w:val="00C47CF9"/>
    <w:rsid w:val="00C517FF"/>
    <w:rsid w:val="00C51CE8"/>
    <w:rsid w:val="00C53100"/>
    <w:rsid w:val="00C56F61"/>
    <w:rsid w:val="00C57398"/>
    <w:rsid w:val="00C61276"/>
    <w:rsid w:val="00C6206E"/>
    <w:rsid w:val="00C623D5"/>
    <w:rsid w:val="00C62FE0"/>
    <w:rsid w:val="00C65E05"/>
    <w:rsid w:val="00C712B1"/>
    <w:rsid w:val="00C723DA"/>
    <w:rsid w:val="00C72582"/>
    <w:rsid w:val="00C76458"/>
    <w:rsid w:val="00C800E8"/>
    <w:rsid w:val="00C810D0"/>
    <w:rsid w:val="00C83E8B"/>
    <w:rsid w:val="00C85967"/>
    <w:rsid w:val="00C85A52"/>
    <w:rsid w:val="00C8652C"/>
    <w:rsid w:val="00C906D3"/>
    <w:rsid w:val="00C910BD"/>
    <w:rsid w:val="00C9194C"/>
    <w:rsid w:val="00C9611D"/>
    <w:rsid w:val="00C975A8"/>
    <w:rsid w:val="00C97C18"/>
    <w:rsid w:val="00CA05A8"/>
    <w:rsid w:val="00CA06F0"/>
    <w:rsid w:val="00CA1BFB"/>
    <w:rsid w:val="00CA445D"/>
    <w:rsid w:val="00CA4BD5"/>
    <w:rsid w:val="00CA7BE0"/>
    <w:rsid w:val="00CA7F20"/>
    <w:rsid w:val="00CB04C0"/>
    <w:rsid w:val="00CB100A"/>
    <w:rsid w:val="00CB17EF"/>
    <w:rsid w:val="00CB5ACD"/>
    <w:rsid w:val="00CB6E96"/>
    <w:rsid w:val="00CB7E6C"/>
    <w:rsid w:val="00CB7FAB"/>
    <w:rsid w:val="00CC2EB0"/>
    <w:rsid w:val="00CC3689"/>
    <w:rsid w:val="00CC5059"/>
    <w:rsid w:val="00CC50AC"/>
    <w:rsid w:val="00CC6338"/>
    <w:rsid w:val="00CC6859"/>
    <w:rsid w:val="00CC689E"/>
    <w:rsid w:val="00CD1641"/>
    <w:rsid w:val="00CD4A57"/>
    <w:rsid w:val="00CD5957"/>
    <w:rsid w:val="00CE2F1E"/>
    <w:rsid w:val="00CE67BE"/>
    <w:rsid w:val="00D004CD"/>
    <w:rsid w:val="00D03D8E"/>
    <w:rsid w:val="00D045F8"/>
    <w:rsid w:val="00D04F58"/>
    <w:rsid w:val="00D067B2"/>
    <w:rsid w:val="00D06DDE"/>
    <w:rsid w:val="00D07898"/>
    <w:rsid w:val="00D07CB0"/>
    <w:rsid w:val="00D1256E"/>
    <w:rsid w:val="00D16790"/>
    <w:rsid w:val="00D1710D"/>
    <w:rsid w:val="00D20EAC"/>
    <w:rsid w:val="00D2195E"/>
    <w:rsid w:val="00D21CBC"/>
    <w:rsid w:val="00D23A86"/>
    <w:rsid w:val="00D2627E"/>
    <w:rsid w:val="00D2764B"/>
    <w:rsid w:val="00D27CF3"/>
    <w:rsid w:val="00D30DD3"/>
    <w:rsid w:val="00D34AB8"/>
    <w:rsid w:val="00D34C30"/>
    <w:rsid w:val="00D34FAF"/>
    <w:rsid w:val="00D36765"/>
    <w:rsid w:val="00D369F7"/>
    <w:rsid w:val="00D40746"/>
    <w:rsid w:val="00D40AE2"/>
    <w:rsid w:val="00D41217"/>
    <w:rsid w:val="00D42900"/>
    <w:rsid w:val="00D42A4F"/>
    <w:rsid w:val="00D442A3"/>
    <w:rsid w:val="00D45639"/>
    <w:rsid w:val="00D45759"/>
    <w:rsid w:val="00D46774"/>
    <w:rsid w:val="00D51003"/>
    <w:rsid w:val="00D51444"/>
    <w:rsid w:val="00D5203A"/>
    <w:rsid w:val="00D52136"/>
    <w:rsid w:val="00D54E3D"/>
    <w:rsid w:val="00D55256"/>
    <w:rsid w:val="00D5536B"/>
    <w:rsid w:val="00D557DA"/>
    <w:rsid w:val="00D55916"/>
    <w:rsid w:val="00D57125"/>
    <w:rsid w:val="00D577CA"/>
    <w:rsid w:val="00D61E2D"/>
    <w:rsid w:val="00D63701"/>
    <w:rsid w:val="00D63820"/>
    <w:rsid w:val="00D64083"/>
    <w:rsid w:val="00D70C4B"/>
    <w:rsid w:val="00D7275D"/>
    <w:rsid w:val="00D74ECB"/>
    <w:rsid w:val="00D773D1"/>
    <w:rsid w:val="00D7744B"/>
    <w:rsid w:val="00D778F4"/>
    <w:rsid w:val="00D77BBD"/>
    <w:rsid w:val="00D800CA"/>
    <w:rsid w:val="00D80114"/>
    <w:rsid w:val="00D831EA"/>
    <w:rsid w:val="00D84C6F"/>
    <w:rsid w:val="00D8531D"/>
    <w:rsid w:val="00D85F51"/>
    <w:rsid w:val="00D86120"/>
    <w:rsid w:val="00D90217"/>
    <w:rsid w:val="00D94803"/>
    <w:rsid w:val="00D97374"/>
    <w:rsid w:val="00DA1A90"/>
    <w:rsid w:val="00DA5B4E"/>
    <w:rsid w:val="00DA5F13"/>
    <w:rsid w:val="00DA7344"/>
    <w:rsid w:val="00DB0551"/>
    <w:rsid w:val="00DB090A"/>
    <w:rsid w:val="00DB0DDC"/>
    <w:rsid w:val="00DB1164"/>
    <w:rsid w:val="00DB1ABF"/>
    <w:rsid w:val="00DB2912"/>
    <w:rsid w:val="00DB3931"/>
    <w:rsid w:val="00DB54FD"/>
    <w:rsid w:val="00DB6194"/>
    <w:rsid w:val="00DC0EEE"/>
    <w:rsid w:val="00DC20F2"/>
    <w:rsid w:val="00DC6324"/>
    <w:rsid w:val="00DC773A"/>
    <w:rsid w:val="00DD0791"/>
    <w:rsid w:val="00DD19CF"/>
    <w:rsid w:val="00DD20B6"/>
    <w:rsid w:val="00DD316B"/>
    <w:rsid w:val="00DD3DDC"/>
    <w:rsid w:val="00DD3FE5"/>
    <w:rsid w:val="00DD452C"/>
    <w:rsid w:val="00DD4F36"/>
    <w:rsid w:val="00DD5A85"/>
    <w:rsid w:val="00DE045C"/>
    <w:rsid w:val="00DE0F81"/>
    <w:rsid w:val="00DE1670"/>
    <w:rsid w:val="00DE26A6"/>
    <w:rsid w:val="00DE2ECE"/>
    <w:rsid w:val="00DE4E36"/>
    <w:rsid w:val="00DE6278"/>
    <w:rsid w:val="00DE6409"/>
    <w:rsid w:val="00DE6687"/>
    <w:rsid w:val="00DE6DF3"/>
    <w:rsid w:val="00DE7A49"/>
    <w:rsid w:val="00DF0485"/>
    <w:rsid w:val="00DF0F0E"/>
    <w:rsid w:val="00DF1339"/>
    <w:rsid w:val="00DF4304"/>
    <w:rsid w:val="00DF5054"/>
    <w:rsid w:val="00DF51D3"/>
    <w:rsid w:val="00DF58A4"/>
    <w:rsid w:val="00DF5C96"/>
    <w:rsid w:val="00DF63EE"/>
    <w:rsid w:val="00DF69CA"/>
    <w:rsid w:val="00DF6E6F"/>
    <w:rsid w:val="00E015BD"/>
    <w:rsid w:val="00E02601"/>
    <w:rsid w:val="00E02B57"/>
    <w:rsid w:val="00E04FDF"/>
    <w:rsid w:val="00E05E04"/>
    <w:rsid w:val="00E064C2"/>
    <w:rsid w:val="00E11427"/>
    <w:rsid w:val="00E1311E"/>
    <w:rsid w:val="00E13135"/>
    <w:rsid w:val="00E13820"/>
    <w:rsid w:val="00E13B88"/>
    <w:rsid w:val="00E147AE"/>
    <w:rsid w:val="00E1538D"/>
    <w:rsid w:val="00E153FB"/>
    <w:rsid w:val="00E1730E"/>
    <w:rsid w:val="00E2251F"/>
    <w:rsid w:val="00E23DE9"/>
    <w:rsid w:val="00E24B34"/>
    <w:rsid w:val="00E25B45"/>
    <w:rsid w:val="00E25E94"/>
    <w:rsid w:val="00E26257"/>
    <w:rsid w:val="00E26D98"/>
    <w:rsid w:val="00E27D74"/>
    <w:rsid w:val="00E30022"/>
    <w:rsid w:val="00E31228"/>
    <w:rsid w:val="00E31979"/>
    <w:rsid w:val="00E35592"/>
    <w:rsid w:val="00E4082F"/>
    <w:rsid w:val="00E41BA4"/>
    <w:rsid w:val="00E426A4"/>
    <w:rsid w:val="00E42E5D"/>
    <w:rsid w:val="00E43A40"/>
    <w:rsid w:val="00E4469F"/>
    <w:rsid w:val="00E459AB"/>
    <w:rsid w:val="00E46BEC"/>
    <w:rsid w:val="00E52E3A"/>
    <w:rsid w:val="00E54B67"/>
    <w:rsid w:val="00E55574"/>
    <w:rsid w:val="00E55BBA"/>
    <w:rsid w:val="00E566F9"/>
    <w:rsid w:val="00E56ED4"/>
    <w:rsid w:val="00E61D71"/>
    <w:rsid w:val="00E62490"/>
    <w:rsid w:val="00E62680"/>
    <w:rsid w:val="00E63884"/>
    <w:rsid w:val="00E65AFA"/>
    <w:rsid w:val="00E65C4D"/>
    <w:rsid w:val="00E660BD"/>
    <w:rsid w:val="00E677C0"/>
    <w:rsid w:val="00E70F9A"/>
    <w:rsid w:val="00E721D6"/>
    <w:rsid w:val="00E75A0F"/>
    <w:rsid w:val="00E76168"/>
    <w:rsid w:val="00E76223"/>
    <w:rsid w:val="00E77B22"/>
    <w:rsid w:val="00E804AE"/>
    <w:rsid w:val="00E80884"/>
    <w:rsid w:val="00E8120E"/>
    <w:rsid w:val="00E83ABE"/>
    <w:rsid w:val="00E844B6"/>
    <w:rsid w:val="00E852C0"/>
    <w:rsid w:val="00E90462"/>
    <w:rsid w:val="00E91646"/>
    <w:rsid w:val="00E955AB"/>
    <w:rsid w:val="00E955ED"/>
    <w:rsid w:val="00E9596C"/>
    <w:rsid w:val="00E95E32"/>
    <w:rsid w:val="00E96D74"/>
    <w:rsid w:val="00E975A2"/>
    <w:rsid w:val="00EA422D"/>
    <w:rsid w:val="00EA5D94"/>
    <w:rsid w:val="00EB029A"/>
    <w:rsid w:val="00EB31DF"/>
    <w:rsid w:val="00EB3C01"/>
    <w:rsid w:val="00EC002E"/>
    <w:rsid w:val="00EC0653"/>
    <w:rsid w:val="00EC0AF1"/>
    <w:rsid w:val="00EC0C16"/>
    <w:rsid w:val="00EC1B25"/>
    <w:rsid w:val="00EC2ED9"/>
    <w:rsid w:val="00EC39BB"/>
    <w:rsid w:val="00EC42DF"/>
    <w:rsid w:val="00EC484D"/>
    <w:rsid w:val="00EC52CB"/>
    <w:rsid w:val="00EC671D"/>
    <w:rsid w:val="00EC6D6C"/>
    <w:rsid w:val="00EC761C"/>
    <w:rsid w:val="00ED0EA2"/>
    <w:rsid w:val="00ED17D9"/>
    <w:rsid w:val="00ED1F36"/>
    <w:rsid w:val="00ED2A1A"/>
    <w:rsid w:val="00ED2D39"/>
    <w:rsid w:val="00ED2E50"/>
    <w:rsid w:val="00ED39EA"/>
    <w:rsid w:val="00ED4C22"/>
    <w:rsid w:val="00ED51AB"/>
    <w:rsid w:val="00ED70A3"/>
    <w:rsid w:val="00ED71A0"/>
    <w:rsid w:val="00EE080E"/>
    <w:rsid w:val="00EE0FF2"/>
    <w:rsid w:val="00EE1327"/>
    <w:rsid w:val="00EE2A7B"/>
    <w:rsid w:val="00EE6DB5"/>
    <w:rsid w:val="00EE77E3"/>
    <w:rsid w:val="00EF1ED2"/>
    <w:rsid w:val="00EF210A"/>
    <w:rsid w:val="00EF2384"/>
    <w:rsid w:val="00EF385C"/>
    <w:rsid w:val="00EF6CA2"/>
    <w:rsid w:val="00EF7999"/>
    <w:rsid w:val="00F002AF"/>
    <w:rsid w:val="00F04F60"/>
    <w:rsid w:val="00F05BE2"/>
    <w:rsid w:val="00F06998"/>
    <w:rsid w:val="00F109AB"/>
    <w:rsid w:val="00F11369"/>
    <w:rsid w:val="00F14747"/>
    <w:rsid w:val="00F150C5"/>
    <w:rsid w:val="00F1638D"/>
    <w:rsid w:val="00F1669F"/>
    <w:rsid w:val="00F17364"/>
    <w:rsid w:val="00F20A2A"/>
    <w:rsid w:val="00F20D7D"/>
    <w:rsid w:val="00F210A9"/>
    <w:rsid w:val="00F2422B"/>
    <w:rsid w:val="00F30045"/>
    <w:rsid w:val="00F31373"/>
    <w:rsid w:val="00F32EAB"/>
    <w:rsid w:val="00F33ABA"/>
    <w:rsid w:val="00F33AC3"/>
    <w:rsid w:val="00F34C0B"/>
    <w:rsid w:val="00F352D7"/>
    <w:rsid w:val="00F3637A"/>
    <w:rsid w:val="00F44B12"/>
    <w:rsid w:val="00F45DF1"/>
    <w:rsid w:val="00F460D1"/>
    <w:rsid w:val="00F472B2"/>
    <w:rsid w:val="00F52958"/>
    <w:rsid w:val="00F53E1D"/>
    <w:rsid w:val="00F547DF"/>
    <w:rsid w:val="00F56563"/>
    <w:rsid w:val="00F57F75"/>
    <w:rsid w:val="00F6232F"/>
    <w:rsid w:val="00F62580"/>
    <w:rsid w:val="00F63558"/>
    <w:rsid w:val="00F70408"/>
    <w:rsid w:val="00F709EF"/>
    <w:rsid w:val="00F74CCB"/>
    <w:rsid w:val="00F769D1"/>
    <w:rsid w:val="00F7738B"/>
    <w:rsid w:val="00F80874"/>
    <w:rsid w:val="00F85176"/>
    <w:rsid w:val="00F8724C"/>
    <w:rsid w:val="00F91757"/>
    <w:rsid w:val="00F92093"/>
    <w:rsid w:val="00F938E5"/>
    <w:rsid w:val="00F939F9"/>
    <w:rsid w:val="00F9563D"/>
    <w:rsid w:val="00F9617C"/>
    <w:rsid w:val="00F970E8"/>
    <w:rsid w:val="00FA1CA5"/>
    <w:rsid w:val="00FA35AB"/>
    <w:rsid w:val="00FA36F3"/>
    <w:rsid w:val="00FA3BC3"/>
    <w:rsid w:val="00FA4E5A"/>
    <w:rsid w:val="00FA53E2"/>
    <w:rsid w:val="00FA563F"/>
    <w:rsid w:val="00FA7053"/>
    <w:rsid w:val="00FA7291"/>
    <w:rsid w:val="00FA764F"/>
    <w:rsid w:val="00FB2995"/>
    <w:rsid w:val="00FB365E"/>
    <w:rsid w:val="00FB3D82"/>
    <w:rsid w:val="00FB4B6F"/>
    <w:rsid w:val="00FB4D26"/>
    <w:rsid w:val="00FB4FE2"/>
    <w:rsid w:val="00FC3C1E"/>
    <w:rsid w:val="00FC456B"/>
    <w:rsid w:val="00FC475B"/>
    <w:rsid w:val="00FC4D20"/>
    <w:rsid w:val="00FC57FB"/>
    <w:rsid w:val="00FC779B"/>
    <w:rsid w:val="00FD1B24"/>
    <w:rsid w:val="00FD25A4"/>
    <w:rsid w:val="00FD5771"/>
    <w:rsid w:val="00FD6B39"/>
    <w:rsid w:val="00FD6EE3"/>
    <w:rsid w:val="00FD772F"/>
    <w:rsid w:val="00FE08E3"/>
    <w:rsid w:val="00FE0B3E"/>
    <w:rsid w:val="00FE373E"/>
    <w:rsid w:val="00FE4E4D"/>
    <w:rsid w:val="00FE6E23"/>
    <w:rsid w:val="00FE7486"/>
    <w:rsid w:val="00FF4B65"/>
    <w:rsid w:val="00FF5091"/>
    <w:rsid w:val="00FF50A2"/>
    <w:rsid w:val="00FF63F0"/>
    <w:rsid w:val="00FF643B"/>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71"/>
    <w:pPr>
      <w:spacing w:after="208" w:line="252" w:lineRule="auto"/>
      <w:ind w:left="-5" w:hanging="10"/>
    </w:pPr>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5D6892"/>
    <w:pPr>
      <w:keepNext/>
      <w:keepLines/>
      <w:spacing w:after="0" w:line="240" w:lineRule="auto"/>
      <w:ind w:left="-5" w:right="-15"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unhideWhenUsed/>
    <w:qFormat/>
    <w:rsid w:val="00681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F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71"/>
    <w:pPr>
      <w:ind w:left="720"/>
      <w:contextualSpacing/>
    </w:pPr>
  </w:style>
  <w:style w:type="table" w:customStyle="1" w:styleId="TableGrid">
    <w:name w:val="TableGrid"/>
    <w:rsid w:val="00E61D7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E61D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71"/>
    <w:rPr>
      <w:sz w:val="16"/>
      <w:szCs w:val="16"/>
    </w:rPr>
  </w:style>
  <w:style w:type="paragraph" w:styleId="CommentText">
    <w:name w:val="annotation text"/>
    <w:basedOn w:val="Normal"/>
    <w:link w:val="CommentTextChar"/>
    <w:uiPriority w:val="99"/>
    <w:semiHidden/>
    <w:unhideWhenUsed/>
    <w:rsid w:val="00E61D71"/>
    <w:pPr>
      <w:spacing w:line="240" w:lineRule="auto"/>
    </w:pPr>
    <w:rPr>
      <w:sz w:val="20"/>
      <w:szCs w:val="20"/>
    </w:rPr>
  </w:style>
  <w:style w:type="character" w:customStyle="1" w:styleId="CommentTextChar">
    <w:name w:val="Comment Text Char"/>
    <w:basedOn w:val="DefaultParagraphFont"/>
    <w:link w:val="CommentText"/>
    <w:uiPriority w:val="99"/>
    <w:semiHidden/>
    <w:rsid w:val="00E61D71"/>
    <w:rPr>
      <w:rFonts w:ascii="Times New Roman" w:eastAsia="Times New Roman" w:hAnsi="Times New Roman" w:cs="Times New Roman"/>
      <w:color w:val="000000"/>
      <w:sz w:val="20"/>
      <w:szCs w:val="20"/>
      <w:lang w:eastAsia="en-GB"/>
    </w:rPr>
  </w:style>
  <w:style w:type="paragraph" w:customStyle="1" w:styleId="Default">
    <w:name w:val="Default"/>
    <w:rsid w:val="00E61D71"/>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E6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71"/>
    <w:rPr>
      <w:rFonts w:ascii="Segoe UI" w:eastAsia="Times New Roman" w:hAnsi="Segoe UI" w:cs="Segoe UI"/>
      <w:color w:val="000000"/>
      <w:sz w:val="18"/>
      <w:szCs w:val="18"/>
      <w:lang w:eastAsia="en-GB"/>
    </w:rPr>
  </w:style>
  <w:style w:type="paragraph" w:customStyle="1" w:styleId="footnotedescription">
    <w:name w:val="footnote description"/>
    <w:next w:val="Normal"/>
    <w:link w:val="footnotedescriptionChar"/>
    <w:hidden/>
    <w:rsid w:val="00746886"/>
    <w:pPr>
      <w:spacing w:after="26" w:line="240" w:lineRule="auto"/>
    </w:pPr>
    <w:rPr>
      <w:rFonts w:ascii="Cambria" w:eastAsia="Cambria" w:hAnsi="Cambria" w:cs="Cambria"/>
      <w:color w:val="000000"/>
      <w:sz w:val="20"/>
      <w:lang w:eastAsia="en-GB"/>
    </w:rPr>
  </w:style>
  <w:style w:type="character" w:customStyle="1" w:styleId="footnotedescriptionChar">
    <w:name w:val="footnote description Char"/>
    <w:link w:val="footnotedescription"/>
    <w:rsid w:val="00746886"/>
    <w:rPr>
      <w:rFonts w:ascii="Cambria" w:eastAsia="Cambria" w:hAnsi="Cambria" w:cs="Cambria"/>
      <w:color w:val="000000"/>
      <w:sz w:val="20"/>
      <w:lang w:eastAsia="en-GB"/>
    </w:rPr>
  </w:style>
  <w:style w:type="character" w:customStyle="1" w:styleId="footnotemark">
    <w:name w:val="footnote mark"/>
    <w:hidden/>
    <w:rsid w:val="00746886"/>
    <w:rPr>
      <w:rFonts w:ascii="Cambria" w:eastAsia="Cambria" w:hAnsi="Cambria" w:cs="Cambria"/>
      <w:color w:val="000000"/>
      <w:sz w:val="20"/>
      <w:vertAlign w:val="superscript"/>
    </w:rPr>
  </w:style>
  <w:style w:type="paragraph" w:styleId="Header">
    <w:name w:val="header"/>
    <w:basedOn w:val="Normal"/>
    <w:link w:val="HeaderChar"/>
    <w:uiPriority w:val="99"/>
    <w:unhideWhenUsed/>
    <w:rsid w:val="0021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C8"/>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21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C8"/>
    <w:rPr>
      <w:rFonts w:ascii="Times New Roman" w:eastAsia="Times New Roman" w:hAnsi="Times New Roman" w:cs="Times New Roman"/>
      <w:color w:val="000000"/>
      <w:lang w:eastAsia="en-GB"/>
    </w:rPr>
  </w:style>
  <w:style w:type="paragraph" w:styleId="BodyText">
    <w:name w:val="Body Text"/>
    <w:basedOn w:val="Normal"/>
    <w:link w:val="BodyTextChar"/>
    <w:uiPriority w:val="99"/>
    <w:rsid w:val="00D5203A"/>
    <w:pPr>
      <w:spacing w:after="0" w:line="240" w:lineRule="auto"/>
      <w:ind w:left="0" w:firstLine="0"/>
    </w:pPr>
    <w:rPr>
      <w:rFonts w:eastAsiaTheme="minorEastAsia"/>
      <w:color w:val="auto"/>
      <w:sz w:val="28"/>
      <w:szCs w:val="28"/>
      <w:lang w:eastAsia="en-US"/>
    </w:rPr>
  </w:style>
  <w:style w:type="character" w:customStyle="1" w:styleId="BodyTextChar">
    <w:name w:val="Body Text Char"/>
    <w:basedOn w:val="DefaultParagraphFont"/>
    <w:link w:val="BodyText"/>
    <w:uiPriority w:val="99"/>
    <w:rsid w:val="00D5203A"/>
    <w:rPr>
      <w:rFonts w:ascii="Times New Roman" w:eastAsiaTheme="minorEastAsia" w:hAnsi="Times New Roman" w:cs="Times New Roman"/>
      <w:sz w:val="28"/>
      <w:szCs w:val="28"/>
    </w:rPr>
  </w:style>
  <w:style w:type="paragraph" w:styleId="FootnoteText">
    <w:name w:val="footnote text"/>
    <w:basedOn w:val="Normal"/>
    <w:link w:val="FootnoteTextChar"/>
    <w:uiPriority w:val="99"/>
    <w:semiHidden/>
    <w:unhideWhenUsed/>
    <w:rsid w:val="00D52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03A"/>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D5203A"/>
    <w:rPr>
      <w:vertAlign w:val="superscript"/>
    </w:rPr>
  </w:style>
  <w:style w:type="character" w:customStyle="1" w:styleId="Heading1Char">
    <w:name w:val="Heading 1 Char"/>
    <w:basedOn w:val="DefaultParagraphFont"/>
    <w:link w:val="Heading1"/>
    <w:uiPriority w:val="9"/>
    <w:rsid w:val="005D6892"/>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6818E9"/>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2A3F9B"/>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9563D"/>
    <w:rPr>
      <w:color w:val="0563C1" w:themeColor="hyperlink"/>
      <w:u w:val="single"/>
    </w:rPr>
  </w:style>
  <w:style w:type="paragraph" w:styleId="NormalWeb">
    <w:name w:val="Normal (Web)"/>
    <w:basedOn w:val="Normal"/>
    <w:link w:val="NormalWebChar"/>
    <w:unhideWhenUsed/>
    <w:rsid w:val="00F9563D"/>
    <w:pPr>
      <w:spacing w:before="100" w:beforeAutospacing="1" w:after="100" w:afterAutospacing="1" w:line="240" w:lineRule="auto"/>
      <w:ind w:left="0" w:firstLine="0"/>
    </w:pPr>
    <w:rPr>
      <w:rFonts w:eastAsiaTheme="minorEastAsia"/>
      <w:color w:val="auto"/>
      <w:sz w:val="24"/>
      <w:szCs w:val="24"/>
    </w:rPr>
  </w:style>
  <w:style w:type="character" w:customStyle="1" w:styleId="NormalWebChar">
    <w:name w:val="Normal (Web) Char"/>
    <w:basedOn w:val="DefaultParagraphFont"/>
    <w:link w:val="NormalWeb"/>
    <w:locked/>
    <w:rsid w:val="00F9563D"/>
    <w:rPr>
      <w:rFonts w:ascii="Times New Roman" w:eastAsiaTheme="minorEastAsia" w:hAnsi="Times New Roman" w:cs="Times New Roman"/>
      <w:sz w:val="24"/>
      <w:szCs w:val="24"/>
      <w:lang w:eastAsia="en-GB"/>
    </w:rPr>
  </w:style>
  <w:style w:type="paragraph" w:styleId="TOCHeading">
    <w:name w:val="TOC Heading"/>
    <w:basedOn w:val="Heading1"/>
    <w:next w:val="Normal"/>
    <w:uiPriority w:val="39"/>
    <w:unhideWhenUsed/>
    <w:qFormat/>
    <w:rsid w:val="006C25AF"/>
    <w:pPr>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6C25AF"/>
    <w:pPr>
      <w:spacing w:after="100"/>
      <w:ind w:left="0"/>
    </w:pPr>
  </w:style>
  <w:style w:type="paragraph" w:styleId="TOC2">
    <w:name w:val="toc 2"/>
    <w:basedOn w:val="Normal"/>
    <w:next w:val="Normal"/>
    <w:autoRedefine/>
    <w:uiPriority w:val="39"/>
    <w:unhideWhenUsed/>
    <w:rsid w:val="001B7D6B"/>
    <w:pPr>
      <w:tabs>
        <w:tab w:val="right" w:leader="dot" w:pos="9350"/>
      </w:tabs>
      <w:spacing w:after="100"/>
      <w:ind w:left="220"/>
    </w:pPr>
  </w:style>
  <w:style w:type="paragraph" w:styleId="TOC3">
    <w:name w:val="toc 3"/>
    <w:basedOn w:val="Normal"/>
    <w:next w:val="Normal"/>
    <w:autoRedefine/>
    <w:uiPriority w:val="39"/>
    <w:unhideWhenUsed/>
    <w:rsid w:val="001B7D6B"/>
    <w:pPr>
      <w:tabs>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F6232F"/>
    <w:rPr>
      <w:b/>
      <w:bCs/>
    </w:rPr>
  </w:style>
  <w:style w:type="character" w:customStyle="1" w:styleId="CommentSubjectChar">
    <w:name w:val="Comment Subject Char"/>
    <w:basedOn w:val="CommentTextChar"/>
    <w:link w:val="CommentSubject"/>
    <w:uiPriority w:val="99"/>
    <w:semiHidden/>
    <w:rsid w:val="00F6232F"/>
    <w:rPr>
      <w:rFonts w:ascii="Times New Roman" w:eastAsia="Times New Roman" w:hAnsi="Times New Roman" w:cs="Times New Roman"/>
      <w:b/>
      <w:bCs/>
      <w:color w:val="000000"/>
      <w:sz w:val="20"/>
      <w:szCs w:val="20"/>
      <w:lang w:eastAsia="en-GB"/>
    </w:rPr>
  </w:style>
  <w:style w:type="paragraph" w:styleId="Revision">
    <w:name w:val="Revision"/>
    <w:hidden/>
    <w:uiPriority w:val="99"/>
    <w:semiHidden/>
    <w:rsid w:val="00CB04C0"/>
    <w:pPr>
      <w:spacing w:after="0" w:line="240" w:lineRule="auto"/>
    </w:pPr>
    <w:rPr>
      <w:rFonts w:ascii="Times New Roman" w:eastAsia="Times New Roman" w:hAnsi="Times New Roman" w:cs="Times New Roman"/>
      <w:color w:val="000000"/>
      <w:lang w:eastAsia="en-GB"/>
    </w:rPr>
  </w:style>
  <w:style w:type="paragraph" w:styleId="NoSpacing">
    <w:name w:val="No Spacing"/>
    <w:uiPriority w:val="1"/>
    <w:qFormat/>
    <w:rsid w:val="00FA3BC3"/>
    <w:pPr>
      <w:spacing w:after="0" w:line="240" w:lineRule="auto"/>
      <w:ind w:left="-5" w:hanging="10"/>
    </w:pPr>
    <w:rPr>
      <w:rFonts w:ascii="Times New Roman" w:eastAsia="Times New Roman" w:hAnsi="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71"/>
    <w:pPr>
      <w:spacing w:after="208" w:line="252" w:lineRule="auto"/>
      <w:ind w:left="-5" w:hanging="10"/>
    </w:pPr>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5D6892"/>
    <w:pPr>
      <w:keepNext/>
      <w:keepLines/>
      <w:spacing w:after="0" w:line="240" w:lineRule="auto"/>
      <w:ind w:left="-5" w:right="-15"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unhideWhenUsed/>
    <w:qFormat/>
    <w:rsid w:val="00681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F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71"/>
    <w:pPr>
      <w:ind w:left="720"/>
      <w:contextualSpacing/>
    </w:pPr>
  </w:style>
  <w:style w:type="table" w:customStyle="1" w:styleId="TableGrid">
    <w:name w:val="TableGrid"/>
    <w:rsid w:val="00E61D7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E61D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71"/>
    <w:rPr>
      <w:sz w:val="16"/>
      <w:szCs w:val="16"/>
    </w:rPr>
  </w:style>
  <w:style w:type="paragraph" w:styleId="CommentText">
    <w:name w:val="annotation text"/>
    <w:basedOn w:val="Normal"/>
    <w:link w:val="CommentTextChar"/>
    <w:uiPriority w:val="99"/>
    <w:semiHidden/>
    <w:unhideWhenUsed/>
    <w:rsid w:val="00E61D71"/>
    <w:pPr>
      <w:spacing w:line="240" w:lineRule="auto"/>
    </w:pPr>
    <w:rPr>
      <w:sz w:val="20"/>
      <w:szCs w:val="20"/>
    </w:rPr>
  </w:style>
  <w:style w:type="character" w:customStyle="1" w:styleId="CommentTextChar">
    <w:name w:val="Comment Text Char"/>
    <w:basedOn w:val="DefaultParagraphFont"/>
    <w:link w:val="CommentText"/>
    <w:uiPriority w:val="99"/>
    <w:semiHidden/>
    <w:rsid w:val="00E61D71"/>
    <w:rPr>
      <w:rFonts w:ascii="Times New Roman" w:eastAsia="Times New Roman" w:hAnsi="Times New Roman" w:cs="Times New Roman"/>
      <w:color w:val="000000"/>
      <w:sz w:val="20"/>
      <w:szCs w:val="20"/>
      <w:lang w:eastAsia="en-GB"/>
    </w:rPr>
  </w:style>
  <w:style w:type="paragraph" w:customStyle="1" w:styleId="Default">
    <w:name w:val="Default"/>
    <w:rsid w:val="00E61D71"/>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E6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71"/>
    <w:rPr>
      <w:rFonts w:ascii="Segoe UI" w:eastAsia="Times New Roman" w:hAnsi="Segoe UI" w:cs="Segoe UI"/>
      <w:color w:val="000000"/>
      <w:sz w:val="18"/>
      <w:szCs w:val="18"/>
      <w:lang w:eastAsia="en-GB"/>
    </w:rPr>
  </w:style>
  <w:style w:type="paragraph" w:customStyle="1" w:styleId="footnotedescription">
    <w:name w:val="footnote description"/>
    <w:next w:val="Normal"/>
    <w:link w:val="footnotedescriptionChar"/>
    <w:hidden/>
    <w:rsid w:val="00746886"/>
    <w:pPr>
      <w:spacing w:after="26" w:line="240" w:lineRule="auto"/>
    </w:pPr>
    <w:rPr>
      <w:rFonts w:ascii="Cambria" w:eastAsia="Cambria" w:hAnsi="Cambria" w:cs="Cambria"/>
      <w:color w:val="000000"/>
      <w:sz w:val="20"/>
      <w:lang w:eastAsia="en-GB"/>
    </w:rPr>
  </w:style>
  <w:style w:type="character" w:customStyle="1" w:styleId="footnotedescriptionChar">
    <w:name w:val="footnote description Char"/>
    <w:link w:val="footnotedescription"/>
    <w:rsid w:val="00746886"/>
    <w:rPr>
      <w:rFonts w:ascii="Cambria" w:eastAsia="Cambria" w:hAnsi="Cambria" w:cs="Cambria"/>
      <w:color w:val="000000"/>
      <w:sz w:val="20"/>
      <w:lang w:eastAsia="en-GB"/>
    </w:rPr>
  </w:style>
  <w:style w:type="character" w:customStyle="1" w:styleId="footnotemark">
    <w:name w:val="footnote mark"/>
    <w:hidden/>
    <w:rsid w:val="00746886"/>
    <w:rPr>
      <w:rFonts w:ascii="Cambria" w:eastAsia="Cambria" w:hAnsi="Cambria" w:cs="Cambria"/>
      <w:color w:val="000000"/>
      <w:sz w:val="20"/>
      <w:vertAlign w:val="superscript"/>
    </w:rPr>
  </w:style>
  <w:style w:type="paragraph" w:styleId="Header">
    <w:name w:val="header"/>
    <w:basedOn w:val="Normal"/>
    <w:link w:val="HeaderChar"/>
    <w:uiPriority w:val="99"/>
    <w:unhideWhenUsed/>
    <w:rsid w:val="0021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C8"/>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21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C8"/>
    <w:rPr>
      <w:rFonts w:ascii="Times New Roman" w:eastAsia="Times New Roman" w:hAnsi="Times New Roman" w:cs="Times New Roman"/>
      <w:color w:val="000000"/>
      <w:lang w:eastAsia="en-GB"/>
    </w:rPr>
  </w:style>
  <w:style w:type="paragraph" w:styleId="BodyText">
    <w:name w:val="Body Text"/>
    <w:basedOn w:val="Normal"/>
    <w:link w:val="BodyTextChar"/>
    <w:uiPriority w:val="99"/>
    <w:rsid w:val="00D5203A"/>
    <w:pPr>
      <w:spacing w:after="0" w:line="240" w:lineRule="auto"/>
      <w:ind w:left="0" w:firstLine="0"/>
    </w:pPr>
    <w:rPr>
      <w:rFonts w:eastAsiaTheme="minorEastAsia"/>
      <w:color w:val="auto"/>
      <w:sz w:val="28"/>
      <w:szCs w:val="28"/>
      <w:lang w:eastAsia="en-US"/>
    </w:rPr>
  </w:style>
  <w:style w:type="character" w:customStyle="1" w:styleId="BodyTextChar">
    <w:name w:val="Body Text Char"/>
    <w:basedOn w:val="DefaultParagraphFont"/>
    <w:link w:val="BodyText"/>
    <w:uiPriority w:val="99"/>
    <w:rsid w:val="00D5203A"/>
    <w:rPr>
      <w:rFonts w:ascii="Times New Roman" w:eastAsiaTheme="minorEastAsia" w:hAnsi="Times New Roman" w:cs="Times New Roman"/>
      <w:sz w:val="28"/>
      <w:szCs w:val="28"/>
    </w:rPr>
  </w:style>
  <w:style w:type="paragraph" w:styleId="FootnoteText">
    <w:name w:val="footnote text"/>
    <w:basedOn w:val="Normal"/>
    <w:link w:val="FootnoteTextChar"/>
    <w:uiPriority w:val="99"/>
    <w:semiHidden/>
    <w:unhideWhenUsed/>
    <w:rsid w:val="00D52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03A"/>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D5203A"/>
    <w:rPr>
      <w:vertAlign w:val="superscript"/>
    </w:rPr>
  </w:style>
  <w:style w:type="character" w:customStyle="1" w:styleId="Heading1Char">
    <w:name w:val="Heading 1 Char"/>
    <w:basedOn w:val="DefaultParagraphFont"/>
    <w:link w:val="Heading1"/>
    <w:uiPriority w:val="9"/>
    <w:rsid w:val="005D6892"/>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6818E9"/>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2A3F9B"/>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9563D"/>
    <w:rPr>
      <w:color w:val="0563C1" w:themeColor="hyperlink"/>
      <w:u w:val="single"/>
    </w:rPr>
  </w:style>
  <w:style w:type="paragraph" w:styleId="NormalWeb">
    <w:name w:val="Normal (Web)"/>
    <w:basedOn w:val="Normal"/>
    <w:link w:val="NormalWebChar"/>
    <w:unhideWhenUsed/>
    <w:rsid w:val="00F9563D"/>
    <w:pPr>
      <w:spacing w:before="100" w:beforeAutospacing="1" w:after="100" w:afterAutospacing="1" w:line="240" w:lineRule="auto"/>
      <w:ind w:left="0" w:firstLine="0"/>
    </w:pPr>
    <w:rPr>
      <w:rFonts w:eastAsiaTheme="minorEastAsia"/>
      <w:color w:val="auto"/>
      <w:sz w:val="24"/>
      <w:szCs w:val="24"/>
    </w:rPr>
  </w:style>
  <w:style w:type="character" w:customStyle="1" w:styleId="NormalWebChar">
    <w:name w:val="Normal (Web) Char"/>
    <w:basedOn w:val="DefaultParagraphFont"/>
    <w:link w:val="NormalWeb"/>
    <w:locked/>
    <w:rsid w:val="00F9563D"/>
    <w:rPr>
      <w:rFonts w:ascii="Times New Roman" w:eastAsiaTheme="minorEastAsia" w:hAnsi="Times New Roman" w:cs="Times New Roman"/>
      <w:sz w:val="24"/>
      <w:szCs w:val="24"/>
      <w:lang w:eastAsia="en-GB"/>
    </w:rPr>
  </w:style>
  <w:style w:type="paragraph" w:styleId="TOCHeading">
    <w:name w:val="TOC Heading"/>
    <w:basedOn w:val="Heading1"/>
    <w:next w:val="Normal"/>
    <w:uiPriority w:val="39"/>
    <w:unhideWhenUsed/>
    <w:qFormat/>
    <w:rsid w:val="006C25AF"/>
    <w:pPr>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6C25AF"/>
    <w:pPr>
      <w:spacing w:after="100"/>
      <w:ind w:left="0"/>
    </w:pPr>
  </w:style>
  <w:style w:type="paragraph" w:styleId="TOC2">
    <w:name w:val="toc 2"/>
    <w:basedOn w:val="Normal"/>
    <w:next w:val="Normal"/>
    <w:autoRedefine/>
    <w:uiPriority w:val="39"/>
    <w:unhideWhenUsed/>
    <w:rsid w:val="001B7D6B"/>
    <w:pPr>
      <w:tabs>
        <w:tab w:val="right" w:leader="dot" w:pos="9350"/>
      </w:tabs>
      <w:spacing w:after="100"/>
      <w:ind w:left="220"/>
    </w:pPr>
  </w:style>
  <w:style w:type="paragraph" w:styleId="TOC3">
    <w:name w:val="toc 3"/>
    <w:basedOn w:val="Normal"/>
    <w:next w:val="Normal"/>
    <w:autoRedefine/>
    <w:uiPriority w:val="39"/>
    <w:unhideWhenUsed/>
    <w:rsid w:val="001B7D6B"/>
    <w:pPr>
      <w:tabs>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F6232F"/>
    <w:rPr>
      <w:b/>
      <w:bCs/>
    </w:rPr>
  </w:style>
  <w:style w:type="character" w:customStyle="1" w:styleId="CommentSubjectChar">
    <w:name w:val="Comment Subject Char"/>
    <w:basedOn w:val="CommentTextChar"/>
    <w:link w:val="CommentSubject"/>
    <w:uiPriority w:val="99"/>
    <w:semiHidden/>
    <w:rsid w:val="00F6232F"/>
    <w:rPr>
      <w:rFonts w:ascii="Times New Roman" w:eastAsia="Times New Roman" w:hAnsi="Times New Roman" w:cs="Times New Roman"/>
      <w:b/>
      <w:bCs/>
      <w:color w:val="000000"/>
      <w:sz w:val="20"/>
      <w:szCs w:val="20"/>
      <w:lang w:eastAsia="en-GB"/>
    </w:rPr>
  </w:style>
  <w:style w:type="paragraph" w:styleId="Revision">
    <w:name w:val="Revision"/>
    <w:hidden/>
    <w:uiPriority w:val="99"/>
    <w:semiHidden/>
    <w:rsid w:val="00CB04C0"/>
    <w:pPr>
      <w:spacing w:after="0" w:line="240" w:lineRule="auto"/>
    </w:pPr>
    <w:rPr>
      <w:rFonts w:ascii="Times New Roman" w:eastAsia="Times New Roman" w:hAnsi="Times New Roman" w:cs="Times New Roman"/>
      <w:color w:val="000000"/>
      <w:lang w:eastAsia="en-GB"/>
    </w:rPr>
  </w:style>
  <w:style w:type="paragraph" w:styleId="NoSpacing">
    <w:name w:val="No Spacing"/>
    <w:uiPriority w:val="1"/>
    <w:qFormat/>
    <w:rsid w:val="00FA3BC3"/>
    <w:pPr>
      <w:spacing w:after="0" w:line="240" w:lineRule="auto"/>
      <w:ind w:left="-5" w:hanging="1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966">
      <w:bodyDiv w:val="1"/>
      <w:marLeft w:val="0"/>
      <w:marRight w:val="0"/>
      <w:marTop w:val="0"/>
      <w:marBottom w:val="0"/>
      <w:divBdr>
        <w:top w:val="none" w:sz="0" w:space="0" w:color="auto"/>
        <w:left w:val="none" w:sz="0" w:space="0" w:color="auto"/>
        <w:bottom w:val="none" w:sz="0" w:space="0" w:color="auto"/>
        <w:right w:val="none" w:sz="0" w:space="0" w:color="auto"/>
      </w:divBdr>
    </w:div>
    <w:div w:id="99376955">
      <w:bodyDiv w:val="1"/>
      <w:marLeft w:val="0"/>
      <w:marRight w:val="0"/>
      <w:marTop w:val="0"/>
      <w:marBottom w:val="0"/>
      <w:divBdr>
        <w:top w:val="none" w:sz="0" w:space="0" w:color="auto"/>
        <w:left w:val="none" w:sz="0" w:space="0" w:color="auto"/>
        <w:bottom w:val="none" w:sz="0" w:space="0" w:color="auto"/>
        <w:right w:val="none" w:sz="0" w:space="0" w:color="auto"/>
      </w:divBdr>
    </w:div>
    <w:div w:id="293291414">
      <w:bodyDiv w:val="1"/>
      <w:marLeft w:val="0"/>
      <w:marRight w:val="0"/>
      <w:marTop w:val="0"/>
      <w:marBottom w:val="0"/>
      <w:divBdr>
        <w:top w:val="none" w:sz="0" w:space="0" w:color="auto"/>
        <w:left w:val="none" w:sz="0" w:space="0" w:color="auto"/>
        <w:bottom w:val="none" w:sz="0" w:space="0" w:color="auto"/>
        <w:right w:val="none" w:sz="0" w:space="0" w:color="auto"/>
      </w:divBdr>
    </w:div>
    <w:div w:id="467093707">
      <w:bodyDiv w:val="1"/>
      <w:marLeft w:val="0"/>
      <w:marRight w:val="0"/>
      <w:marTop w:val="0"/>
      <w:marBottom w:val="0"/>
      <w:divBdr>
        <w:top w:val="none" w:sz="0" w:space="0" w:color="auto"/>
        <w:left w:val="none" w:sz="0" w:space="0" w:color="auto"/>
        <w:bottom w:val="none" w:sz="0" w:space="0" w:color="auto"/>
        <w:right w:val="none" w:sz="0" w:space="0" w:color="auto"/>
      </w:divBdr>
    </w:div>
    <w:div w:id="488520062">
      <w:bodyDiv w:val="1"/>
      <w:marLeft w:val="0"/>
      <w:marRight w:val="0"/>
      <w:marTop w:val="0"/>
      <w:marBottom w:val="0"/>
      <w:divBdr>
        <w:top w:val="none" w:sz="0" w:space="0" w:color="auto"/>
        <w:left w:val="none" w:sz="0" w:space="0" w:color="auto"/>
        <w:bottom w:val="none" w:sz="0" w:space="0" w:color="auto"/>
        <w:right w:val="none" w:sz="0" w:space="0" w:color="auto"/>
      </w:divBdr>
    </w:div>
    <w:div w:id="549346075">
      <w:bodyDiv w:val="1"/>
      <w:marLeft w:val="0"/>
      <w:marRight w:val="0"/>
      <w:marTop w:val="0"/>
      <w:marBottom w:val="0"/>
      <w:divBdr>
        <w:top w:val="none" w:sz="0" w:space="0" w:color="auto"/>
        <w:left w:val="none" w:sz="0" w:space="0" w:color="auto"/>
        <w:bottom w:val="none" w:sz="0" w:space="0" w:color="auto"/>
        <w:right w:val="none" w:sz="0" w:space="0" w:color="auto"/>
      </w:divBdr>
    </w:div>
    <w:div w:id="563490742">
      <w:bodyDiv w:val="1"/>
      <w:marLeft w:val="0"/>
      <w:marRight w:val="0"/>
      <w:marTop w:val="0"/>
      <w:marBottom w:val="0"/>
      <w:divBdr>
        <w:top w:val="none" w:sz="0" w:space="0" w:color="auto"/>
        <w:left w:val="none" w:sz="0" w:space="0" w:color="auto"/>
        <w:bottom w:val="none" w:sz="0" w:space="0" w:color="auto"/>
        <w:right w:val="none" w:sz="0" w:space="0" w:color="auto"/>
      </w:divBdr>
    </w:div>
    <w:div w:id="742334824">
      <w:bodyDiv w:val="1"/>
      <w:marLeft w:val="0"/>
      <w:marRight w:val="0"/>
      <w:marTop w:val="0"/>
      <w:marBottom w:val="0"/>
      <w:divBdr>
        <w:top w:val="none" w:sz="0" w:space="0" w:color="auto"/>
        <w:left w:val="none" w:sz="0" w:space="0" w:color="auto"/>
        <w:bottom w:val="none" w:sz="0" w:space="0" w:color="auto"/>
        <w:right w:val="none" w:sz="0" w:space="0" w:color="auto"/>
      </w:divBdr>
    </w:div>
    <w:div w:id="780302772">
      <w:bodyDiv w:val="1"/>
      <w:marLeft w:val="0"/>
      <w:marRight w:val="0"/>
      <w:marTop w:val="0"/>
      <w:marBottom w:val="0"/>
      <w:divBdr>
        <w:top w:val="none" w:sz="0" w:space="0" w:color="auto"/>
        <w:left w:val="none" w:sz="0" w:space="0" w:color="auto"/>
        <w:bottom w:val="none" w:sz="0" w:space="0" w:color="auto"/>
        <w:right w:val="none" w:sz="0" w:space="0" w:color="auto"/>
      </w:divBdr>
    </w:div>
    <w:div w:id="867180131">
      <w:bodyDiv w:val="1"/>
      <w:marLeft w:val="0"/>
      <w:marRight w:val="0"/>
      <w:marTop w:val="0"/>
      <w:marBottom w:val="0"/>
      <w:divBdr>
        <w:top w:val="none" w:sz="0" w:space="0" w:color="auto"/>
        <w:left w:val="none" w:sz="0" w:space="0" w:color="auto"/>
        <w:bottom w:val="none" w:sz="0" w:space="0" w:color="auto"/>
        <w:right w:val="none" w:sz="0" w:space="0" w:color="auto"/>
      </w:divBdr>
    </w:div>
    <w:div w:id="948510754">
      <w:bodyDiv w:val="1"/>
      <w:marLeft w:val="0"/>
      <w:marRight w:val="0"/>
      <w:marTop w:val="0"/>
      <w:marBottom w:val="0"/>
      <w:divBdr>
        <w:top w:val="none" w:sz="0" w:space="0" w:color="auto"/>
        <w:left w:val="none" w:sz="0" w:space="0" w:color="auto"/>
        <w:bottom w:val="none" w:sz="0" w:space="0" w:color="auto"/>
        <w:right w:val="none" w:sz="0" w:space="0" w:color="auto"/>
      </w:divBdr>
    </w:div>
    <w:div w:id="1391878724">
      <w:bodyDiv w:val="1"/>
      <w:marLeft w:val="0"/>
      <w:marRight w:val="0"/>
      <w:marTop w:val="0"/>
      <w:marBottom w:val="0"/>
      <w:divBdr>
        <w:top w:val="none" w:sz="0" w:space="0" w:color="auto"/>
        <w:left w:val="none" w:sz="0" w:space="0" w:color="auto"/>
        <w:bottom w:val="none" w:sz="0" w:space="0" w:color="auto"/>
        <w:right w:val="none" w:sz="0" w:space="0" w:color="auto"/>
      </w:divBdr>
    </w:div>
    <w:div w:id="1885867352">
      <w:bodyDiv w:val="1"/>
      <w:marLeft w:val="0"/>
      <w:marRight w:val="0"/>
      <w:marTop w:val="0"/>
      <w:marBottom w:val="0"/>
      <w:divBdr>
        <w:top w:val="none" w:sz="0" w:space="0" w:color="auto"/>
        <w:left w:val="none" w:sz="0" w:space="0" w:color="auto"/>
        <w:bottom w:val="none" w:sz="0" w:space="0" w:color="auto"/>
        <w:right w:val="none" w:sz="0" w:space="0" w:color="auto"/>
      </w:divBdr>
    </w:div>
    <w:div w:id="1958027829">
      <w:bodyDiv w:val="1"/>
      <w:marLeft w:val="0"/>
      <w:marRight w:val="0"/>
      <w:marTop w:val="0"/>
      <w:marBottom w:val="0"/>
      <w:divBdr>
        <w:top w:val="none" w:sz="0" w:space="0" w:color="auto"/>
        <w:left w:val="none" w:sz="0" w:space="0" w:color="auto"/>
        <w:bottom w:val="none" w:sz="0" w:space="0" w:color="auto"/>
        <w:right w:val="none" w:sz="0" w:space="0" w:color="auto"/>
      </w:divBdr>
    </w:div>
    <w:div w:id="1983532904">
      <w:bodyDiv w:val="1"/>
      <w:marLeft w:val="0"/>
      <w:marRight w:val="0"/>
      <w:marTop w:val="0"/>
      <w:marBottom w:val="0"/>
      <w:divBdr>
        <w:top w:val="none" w:sz="0" w:space="0" w:color="auto"/>
        <w:left w:val="none" w:sz="0" w:space="0" w:color="auto"/>
        <w:bottom w:val="none" w:sz="0" w:space="0" w:color="auto"/>
        <w:right w:val="none" w:sz="0" w:space="0" w:color="auto"/>
      </w:divBdr>
    </w:div>
    <w:div w:id="2022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2.bin"/><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cdc.gov/growthcharts"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oleObject" Target="embeddings/oleObject5.bin"/><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nadeemuob@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4.bin"/><Relationship Id="rId28" Type="http://schemas.openxmlformats.org/officeDocument/2006/relationships/hyperlink" Target="http://www.academicjournaljournals.org/JAERD"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7.wmf"/><Relationship Id="rId27" Type="http://schemas.openxmlformats.org/officeDocument/2006/relationships/hyperlink" Target="http://www.academicjournals.org/AJB"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omar%20njai\Documents\trade%20and%20health%20los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Figure 1:</a:t>
            </a:r>
            <a:r>
              <a:rPr lang="en-US" sz="1100" b="1" baseline="0">
                <a:solidFill>
                  <a:sysClr val="windowText" lastClr="000000"/>
                </a:solidFill>
                <a:latin typeface="Times New Roman" panose="02020603050405020304" pitchFamily="18" charset="0"/>
                <a:cs typeface="Times New Roman" panose="02020603050405020304" pitchFamily="18" charset="0"/>
              </a:rPr>
              <a:t> Groundnut, Maize and Rice Production 2005/06-2014/15</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6612640573213"/>
          <c:y val="0.85884393063583819"/>
        </c:manualLayout>
      </c:layout>
      <c:overlay val="0"/>
      <c:spPr>
        <a:noFill/>
        <a:ln>
          <a:noFill/>
        </a:ln>
        <a:effectLst/>
      </c:spPr>
    </c:title>
    <c:autoTitleDeleted val="0"/>
    <c:plotArea>
      <c:layout>
        <c:manualLayout>
          <c:layoutTarget val="inner"/>
          <c:xMode val="edge"/>
          <c:yMode val="edge"/>
          <c:x val="0.15766534133728333"/>
          <c:y val="9.5349916122869957E-2"/>
          <c:w val="0.80512443170037273"/>
          <c:h val="0.61665331307270799"/>
        </c:manualLayout>
      </c:layout>
      <c:lineChart>
        <c:grouping val="standard"/>
        <c:varyColors val="0"/>
        <c:ser>
          <c:idx val="0"/>
          <c:order val="0"/>
          <c:tx>
            <c:strRef>
              <c:f>'Analysis of Crops '!$D$3</c:f>
              <c:strCache>
                <c:ptCount val="1"/>
                <c:pt idx="0">
                  <c:v>Groundnuts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'Analysis of Crops '!$C$35:$C$44</c:f>
              <c:strCache>
                <c:ptCount val="10"/>
                <c:pt idx="0">
                  <c:v>2005/06</c:v>
                </c:pt>
                <c:pt idx="1">
                  <c:v>2006/07</c:v>
                </c:pt>
                <c:pt idx="2">
                  <c:v>2007/08</c:v>
                </c:pt>
                <c:pt idx="3">
                  <c:v>2008/09</c:v>
                </c:pt>
                <c:pt idx="4">
                  <c:v>2009/10</c:v>
                </c:pt>
                <c:pt idx="5">
                  <c:v>2010/11</c:v>
                </c:pt>
                <c:pt idx="6">
                  <c:v>2011/12</c:v>
                </c:pt>
                <c:pt idx="7">
                  <c:v>2012/13</c:v>
                </c:pt>
                <c:pt idx="8">
                  <c:v>2013/14</c:v>
                </c:pt>
                <c:pt idx="9">
                  <c:v>2014/15</c:v>
                </c:pt>
              </c:strCache>
            </c:strRef>
          </c:cat>
          <c:val>
            <c:numRef>
              <c:f>'Analysis of Crops '!$D$35:$D$44</c:f>
              <c:numCache>
                <c:formatCode>0.00</c:formatCode>
                <c:ptCount val="10"/>
                <c:pt idx="0">
                  <c:v>140.66</c:v>
                </c:pt>
                <c:pt idx="1">
                  <c:v>150.13999999999999</c:v>
                </c:pt>
                <c:pt idx="2">
                  <c:v>72.599999999999994</c:v>
                </c:pt>
                <c:pt idx="3">
                  <c:v>108.884</c:v>
                </c:pt>
                <c:pt idx="4">
                  <c:v>113.282</c:v>
                </c:pt>
                <c:pt idx="5">
                  <c:v>97.516000000000005</c:v>
                </c:pt>
                <c:pt idx="6">
                  <c:v>83.858000000000004</c:v>
                </c:pt>
                <c:pt idx="7">
                  <c:v>119.614</c:v>
                </c:pt>
                <c:pt idx="8">
                  <c:v>93.861999999999995</c:v>
                </c:pt>
                <c:pt idx="9">
                  <c:v>80.653000000000006</c:v>
                </c:pt>
              </c:numCache>
            </c:numRef>
          </c:val>
          <c:smooth val="0"/>
        </c:ser>
        <c:ser>
          <c:idx val="1"/>
          <c:order val="1"/>
          <c:tx>
            <c:strRef>
              <c:f>'Analysis of Crops '!$E$3</c:f>
              <c:strCache>
                <c:ptCount val="1"/>
                <c:pt idx="0">
                  <c:v>Maize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'Analysis of Crops '!$C$35:$C$44</c:f>
              <c:strCache>
                <c:ptCount val="10"/>
                <c:pt idx="0">
                  <c:v>2005/06</c:v>
                </c:pt>
                <c:pt idx="1">
                  <c:v>2006/07</c:v>
                </c:pt>
                <c:pt idx="2">
                  <c:v>2007/08</c:v>
                </c:pt>
                <c:pt idx="3">
                  <c:v>2008/09</c:v>
                </c:pt>
                <c:pt idx="4">
                  <c:v>2009/10</c:v>
                </c:pt>
                <c:pt idx="5">
                  <c:v>2010/11</c:v>
                </c:pt>
                <c:pt idx="6">
                  <c:v>2011/12</c:v>
                </c:pt>
                <c:pt idx="7">
                  <c:v>2012/13</c:v>
                </c:pt>
                <c:pt idx="8">
                  <c:v>2013/14</c:v>
                </c:pt>
                <c:pt idx="9">
                  <c:v>2014/15</c:v>
                </c:pt>
              </c:strCache>
            </c:strRef>
          </c:cat>
          <c:val>
            <c:numRef>
              <c:f>'Analysis of Crops '!$E$35:$E$44</c:f>
              <c:numCache>
                <c:formatCode>0.00</c:formatCode>
                <c:ptCount val="10"/>
                <c:pt idx="0">
                  <c:v>27.7</c:v>
                </c:pt>
                <c:pt idx="1">
                  <c:v>29.51</c:v>
                </c:pt>
                <c:pt idx="2">
                  <c:v>31.4</c:v>
                </c:pt>
                <c:pt idx="3">
                  <c:v>32.152999999999999</c:v>
                </c:pt>
                <c:pt idx="4">
                  <c:v>32.35</c:v>
                </c:pt>
                <c:pt idx="5">
                  <c:v>35.761000000000003</c:v>
                </c:pt>
                <c:pt idx="6">
                  <c:v>23.613</c:v>
                </c:pt>
                <c:pt idx="7">
                  <c:v>28.934000000000001</c:v>
                </c:pt>
                <c:pt idx="8">
                  <c:v>33.06</c:v>
                </c:pt>
                <c:pt idx="9">
                  <c:v>8</c:v>
                </c:pt>
              </c:numCache>
            </c:numRef>
          </c:val>
          <c:smooth val="0"/>
        </c:ser>
        <c:ser>
          <c:idx val="2"/>
          <c:order val="2"/>
          <c:tx>
            <c:strRef>
              <c:f>'Analysis of Crops '!$F$3</c:f>
              <c:strCache>
                <c:ptCount val="1"/>
                <c:pt idx="0">
                  <c:v>Rice (Paddy)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'Analysis of Crops '!$C$35:$C$44</c:f>
              <c:strCache>
                <c:ptCount val="10"/>
                <c:pt idx="0">
                  <c:v>2005/06</c:v>
                </c:pt>
                <c:pt idx="1">
                  <c:v>2006/07</c:v>
                </c:pt>
                <c:pt idx="2">
                  <c:v>2007/08</c:v>
                </c:pt>
                <c:pt idx="3">
                  <c:v>2008/09</c:v>
                </c:pt>
                <c:pt idx="4">
                  <c:v>2009/10</c:v>
                </c:pt>
                <c:pt idx="5">
                  <c:v>2010/11</c:v>
                </c:pt>
                <c:pt idx="6">
                  <c:v>2011/12</c:v>
                </c:pt>
                <c:pt idx="7">
                  <c:v>2012/13</c:v>
                </c:pt>
                <c:pt idx="8">
                  <c:v>2013/14</c:v>
                </c:pt>
                <c:pt idx="9">
                  <c:v>2014/15</c:v>
                </c:pt>
              </c:strCache>
            </c:strRef>
          </c:cat>
          <c:val>
            <c:numRef>
              <c:f>'Analysis of Crops '!$F$35:$F$44</c:f>
              <c:numCache>
                <c:formatCode>0.00</c:formatCode>
                <c:ptCount val="10"/>
                <c:pt idx="0">
                  <c:v>18.14</c:v>
                </c:pt>
                <c:pt idx="1">
                  <c:v>17.079999999999998</c:v>
                </c:pt>
                <c:pt idx="2">
                  <c:v>11.4</c:v>
                </c:pt>
                <c:pt idx="3">
                  <c:v>34.293999999999997</c:v>
                </c:pt>
                <c:pt idx="4">
                  <c:v>49.963999999999999</c:v>
                </c:pt>
                <c:pt idx="5">
                  <c:v>62.926000000000002</c:v>
                </c:pt>
                <c:pt idx="6">
                  <c:v>51.136000000000003</c:v>
                </c:pt>
                <c:pt idx="7">
                  <c:v>54.219000000000001</c:v>
                </c:pt>
                <c:pt idx="8">
                  <c:v>69.703999999999994</c:v>
                </c:pt>
                <c:pt idx="9">
                  <c:v>15</c:v>
                </c:pt>
              </c:numCache>
            </c:numRef>
          </c:val>
          <c:smooth val="0"/>
        </c:ser>
        <c:dLbls>
          <c:showLegendKey val="0"/>
          <c:showVal val="0"/>
          <c:showCatName val="0"/>
          <c:showSerName val="0"/>
          <c:showPercent val="0"/>
          <c:showBubbleSize val="0"/>
        </c:dLbls>
        <c:marker val="1"/>
        <c:smooth val="0"/>
        <c:axId val="232056320"/>
        <c:axId val="261642112"/>
      </c:lineChart>
      <c:catAx>
        <c:axId val="2320563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642112"/>
        <c:crosses val="autoZero"/>
        <c:auto val="1"/>
        <c:lblAlgn val="ctr"/>
        <c:lblOffset val="100"/>
        <c:noMultiLvlLbl val="0"/>
      </c:catAx>
      <c:valAx>
        <c:axId val="261642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 Metric Tons (</a:t>
                </a:r>
                <a:r>
                  <a:rPr lang="en-US" sz="1000" b="0" i="0" u="none" strike="noStrike" kern="1200" baseline="0">
                    <a:solidFill>
                      <a:sysClr val="windowText" lastClr="000000">
                        <a:lumMod val="65000"/>
                        <a:lumOff val="35000"/>
                      </a:sysClr>
                    </a:solidFill>
                    <a:latin typeface="+mn-lt"/>
                    <a:ea typeface="+mn-ea"/>
                    <a:cs typeface="+mn-cs"/>
                  </a:rPr>
                  <a:t>MT</a:t>
                </a:r>
                <a:r>
                  <a:rPr lang="en-US"/>
                  <a:t>)</a:t>
                </a:r>
              </a:p>
            </c:rich>
          </c:tx>
          <c:overlay val="0"/>
          <c:spPr>
            <a:noFill/>
            <a:ln>
              <a:noFill/>
            </a:ln>
            <a:effectLst/>
          </c:spPr>
        </c:title>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6320"/>
        <c:crosses val="autoZero"/>
        <c:crossBetween val="between"/>
      </c:valAx>
      <c:spPr>
        <a:noFill/>
        <a:ln>
          <a:noFill/>
        </a:ln>
        <a:effectLst/>
      </c:spPr>
    </c:plotArea>
    <c:legend>
      <c:legendPos val="b"/>
      <c:layout>
        <c:manualLayout>
          <c:xMode val="edge"/>
          <c:yMode val="edge"/>
          <c:x val="0.29932108676056762"/>
          <c:y val="3.9903360703765288E-2"/>
          <c:w val="0.56990001736164297"/>
          <c:h val="6.83895364143311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a:solidFill>
                  <a:sysClr val="windowText" lastClr="000000"/>
                </a:solidFill>
              </a:rPr>
              <a:t>Figure 2: National Food</a:t>
            </a:r>
            <a:r>
              <a:rPr lang="en-US" sz="1200" baseline="0">
                <a:solidFill>
                  <a:sysClr val="windowText" lastClr="000000"/>
                </a:solidFill>
              </a:rPr>
              <a:t> Consumption in kcal/capita/day</a:t>
            </a:r>
            <a:endParaRPr lang="en-US" sz="1200">
              <a:solidFill>
                <a:sysClr val="windowText" lastClr="000000"/>
              </a:solidFill>
            </a:endParaRPr>
          </a:p>
        </c:rich>
      </c:tx>
      <c:layout>
        <c:manualLayout>
          <c:xMode val="edge"/>
          <c:yMode val="edge"/>
          <c:x val="0.13142969318420436"/>
          <c:y val="0.92335520103782642"/>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906719452276249E-2"/>
          <c:y val="0.11931086270891886"/>
          <c:w val="0.81609798775153108"/>
          <c:h val="0.69710990813648299"/>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'Pie chart on Consumption'!$B$3:$B$12</c:f>
              <c:strCache>
                <c:ptCount val="10"/>
                <c:pt idx="0">
                  <c:v>Rice (Milled Equivalent)</c:v>
                </c:pt>
                <c:pt idx="1">
                  <c:v>Millet and products</c:v>
                </c:pt>
                <c:pt idx="2">
                  <c:v>Wheat and products</c:v>
                </c:pt>
                <c:pt idx="3">
                  <c:v>Sugar (Raw Equivalent)</c:v>
                </c:pt>
                <c:pt idx="4">
                  <c:v>Palm Oil</c:v>
                </c:pt>
                <c:pt idx="5">
                  <c:v>Maize </c:v>
                </c:pt>
                <c:pt idx="6">
                  <c:v>Sorghum</c:v>
                </c:pt>
                <c:pt idx="7">
                  <c:v>Milk </c:v>
                </c:pt>
                <c:pt idx="8">
                  <c:v>G/nuts </c:v>
                </c:pt>
                <c:pt idx="9">
                  <c:v>Oilcrops</c:v>
                </c:pt>
              </c:strCache>
            </c:strRef>
          </c:cat>
          <c:val>
            <c:numRef>
              <c:f>'Pie chart on Consumption'!$C$3:$C$12</c:f>
              <c:numCache>
                <c:formatCode>0.0</c:formatCode>
                <c:ptCount val="10"/>
                <c:pt idx="0">
                  <c:v>26.234689845910708</c:v>
                </c:pt>
                <c:pt idx="1">
                  <c:v>18.609245357566177</c:v>
                </c:pt>
                <c:pt idx="2">
                  <c:v>13.670485973923348</c:v>
                </c:pt>
                <c:pt idx="3">
                  <c:v>10.272619517977084</c:v>
                </c:pt>
                <c:pt idx="4">
                  <c:v>8.2180956143816672</c:v>
                </c:pt>
                <c:pt idx="5">
                  <c:v>6.00553141050968</c:v>
                </c:pt>
                <c:pt idx="6">
                  <c:v>4.859739233504544</c:v>
                </c:pt>
                <c:pt idx="7">
                  <c:v>4.5041485578822602</c:v>
                </c:pt>
                <c:pt idx="8">
                  <c:v>4.4251284077439745</c:v>
                </c:pt>
                <c:pt idx="9">
                  <c:v>3.2003160806005528</c:v>
                </c:pt>
              </c:numCache>
            </c:numRef>
          </c:val>
        </c:ser>
        <c:ser>
          <c:idx val="1"/>
          <c:order val="1"/>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'Pie chart on Consumption'!$B$3:$B$12</c:f>
              <c:strCache>
                <c:ptCount val="10"/>
                <c:pt idx="0">
                  <c:v>Rice (Milled Equivalent)</c:v>
                </c:pt>
                <c:pt idx="1">
                  <c:v>Millet and products</c:v>
                </c:pt>
                <c:pt idx="2">
                  <c:v>Wheat and products</c:v>
                </c:pt>
                <c:pt idx="3">
                  <c:v>Sugar (Raw Equivalent)</c:v>
                </c:pt>
                <c:pt idx="4">
                  <c:v>Palm Oil</c:v>
                </c:pt>
                <c:pt idx="5">
                  <c:v>Maize </c:v>
                </c:pt>
                <c:pt idx="6">
                  <c:v>Sorghum</c:v>
                </c:pt>
                <c:pt idx="7">
                  <c:v>Milk </c:v>
                </c:pt>
                <c:pt idx="8">
                  <c:v>G/nuts </c:v>
                </c:pt>
                <c:pt idx="9">
                  <c:v>Oilcrops</c:v>
                </c:pt>
              </c:strCache>
            </c:strRef>
          </c:cat>
          <c:val>
            <c:numRef>
              <c:f>'Pie chart on Consumption'!$D$3:$D$12</c:f>
              <c:numCache>
                <c:formatCode>General</c:formatCode>
                <c:ptCount val="10"/>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Figure 3: Economic Losses from Groundnut Trade since 2000</a:t>
            </a:r>
          </a:p>
        </c:rich>
      </c:tx>
      <c:layout>
        <c:manualLayout>
          <c:xMode val="edge"/>
          <c:yMode val="edge"/>
          <c:x val="0.17750169956944239"/>
          <c:y val="0.88285707244340939"/>
        </c:manualLayout>
      </c:layout>
      <c:overlay val="0"/>
      <c:spPr>
        <a:noFill/>
        <a:ln>
          <a:noFill/>
        </a:ln>
        <a:effectLst/>
      </c:spPr>
    </c:title>
    <c:autoTitleDeleted val="0"/>
    <c:plotArea>
      <c:layout>
        <c:manualLayout>
          <c:layoutTarget val="inner"/>
          <c:xMode val="edge"/>
          <c:yMode val="edge"/>
          <c:x val="0.19919001472008047"/>
          <c:y val="0.19881920569787931"/>
          <c:w val="0.76155140933470278"/>
          <c:h val="0.55907545007578274"/>
        </c:manualLayout>
      </c:layout>
      <c:lineChart>
        <c:grouping val="standard"/>
        <c:varyColors val="0"/>
        <c:ser>
          <c:idx val="1"/>
          <c:order val="0"/>
          <c:tx>
            <c:strRef>
              <c:f>'Total Trade Economic Loss'!$B$2</c:f>
              <c:strCache>
                <c:ptCount val="1"/>
                <c:pt idx="0">
                  <c:v>Economic Loss from Shelled Gnuts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'Total Trade Economic Loss'!$A$3:$A$17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'Total Trade Economic Loss'!$B$3:$B$17</c:f>
              <c:numCache>
                <c:formatCode>General</c:formatCode>
                <c:ptCount val="15"/>
                <c:pt idx="0">
                  <c:v>2292939</c:v>
                </c:pt>
                <c:pt idx="1">
                  <c:v>1436400.0000000002</c:v>
                </c:pt>
                <c:pt idx="2">
                  <c:v>1539000.0000000002</c:v>
                </c:pt>
                <c:pt idx="3">
                  <c:v>748800.00000000047</c:v>
                </c:pt>
                <c:pt idx="4">
                  <c:v>629100.00000000035</c:v>
                </c:pt>
                <c:pt idx="5">
                  <c:v>1500000</c:v>
                </c:pt>
                <c:pt idx="6">
                  <c:v>1291199.9999999998</c:v>
                </c:pt>
                <c:pt idx="7">
                  <c:v>2249100.0000000009</c:v>
                </c:pt>
                <c:pt idx="8">
                  <c:v>2462400.0000000014</c:v>
                </c:pt>
                <c:pt idx="9">
                  <c:v>2759400.0000000014</c:v>
                </c:pt>
                <c:pt idx="10">
                  <c:v>2162571.4800000004</c:v>
                </c:pt>
                <c:pt idx="11">
                  <c:v>1393048.8000000007</c:v>
                </c:pt>
                <c:pt idx="12">
                  <c:v>1084320</c:v>
                </c:pt>
                <c:pt idx="13">
                  <c:v>967894.2</c:v>
                </c:pt>
                <c:pt idx="14">
                  <c:v>358344</c:v>
                </c:pt>
              </c:numCache>
            </c:numRef>
          </c:val>
          <c:smooth val="0"/>
        </c:ser>
        <c:ser>
          <c:idx val="2"/>
          <c:order val="1"/>
          <c:tx>
            <c:strRef>
              <c:f>'Total Trade Economic Loss'!$C$2</c:f>
              <c:strCache>
                <c:ptCount val="1"/>
                <c:pt idx="0">
                  <c:v>Economic Loss From Gnut Cake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'Total Trade Economic Loss'!$A$3:$A$17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'Total Trade Economic Loss'!$C$3:$C$17</c:f>
              <c:numCache>
                <c:formatCode>General</c:formatCode>
                <c:ptCount val="15"/>
                <c:pt idx="10">
                  <c:v>1146462</c:v>
                </c:pt>
                <c:pt idx="11">
                  <c:v>1157359</c:v>
                </c:pt>
                <c:pt idx="12">
                  <c:v>123170</c:v>
                </c:pt>
                <c:pt idx="13">
                  <c:v>20500</c:v>
                </c:pt>
                <c:pt idx="14">
                  <c:v>73500</c:v>
                </c:pt>
              </c:numCache>
            </c:numRef>
          </c:val>
          <c:smooth val="0"/>
        </c:ser>
        <c:ser>
          <c:idx val="3"/>
          <c:order val="2"/>
          <c:tx>
            <c:strRef>
              <c:f>'Total Trade Economic Loss'!$D$2</c:f>
              <c:strCache>
                <c:ptCount val="1"/>
                <c:pt idx="0">
                  <c:v>Economic Loss From Rapid Alerts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'Total Trade Economic Loss'!$A$3:$A$17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'Total Trade Economic Loss'!$D$3:$D$17</c:f>
              <c:numCache>
                <c:formatCode>General</c:formatCode>
                <c:ptCount val="15"/>
                <c:pt idx="12">
                  <c:v>21979.067554709796</c:v>
                </c:pt>
                <c:pt idx="13">
                  <c:v>158038.76852907639</c:v>
                </c:pt>
                <c:pt idx="14">
                  <c:v>72947.368421052626</c:v>
                </c:pt>
              </c:numCache>
            </c:numRef>
          </c:val>
          <c:smooth val="0"/>
        </c:ser>
        <c:dLbls>
          <c:showLegendKey val="0"/>
          <c:showVal val="0"/>
          <c:showCatName val="0"/>
          <c:showSerName val="0"/>
          <c:showPercent val="0"/>
          <c:showBubbleSize val="0"/>
        </c:dLbls>
        <c:marker val="1"/>
        <c:smooth val="0"/>
        <c:axId val="217653248"/>
        <c:axId val="217655168"/>
      </c:lineChart>
      <c:catAx>
        <c:axId val="217653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655168"/>
        <c:crosses val="autoZero"/>
        <c:auto val="1"/>
        <c:lblAlgn val="ctr"/>
        <c:lblOffset val="100"/>
        <c:noMultiLvlLbl val="0"/>
      </c:catAx>
      <c:valAx>
        <c:axId val="21765516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US DOLLAR</a:t>
                </a:r>
              </a:p>
            </c:rich>
          </c:tx>
          <c:layout>
            <c:manualLayout>
              <c:xMode val="edge"/>
              <c:yMode val="edge"/>
              <c:x val="3.0350073803154638E-2"/>
              <c:y val="0.37892881918370558"/>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653248"/>
        <c:crosses val="autoZero"/>
        <c:crossBetween val="between"/>
      </c:valAx>
      <c:spPr>
        <a:noFill/>
        <a:ln>
          <a:noFill/>
        </a:ln>
        <a:effectLst/>
      </c:spPr>
    </c:plotArea>
    <c:legend>
      <c:legendPos val="b"/>
      <c:layout>
        <c:manualLayout>
          <c:xMode val="edge"/>
          <c:yMode val="edge"/>
          <c:x val="0.56171545735285966"/>
          <c:y val="1.1048223876647572E-2"/>
          <c:w val="0.43383418723331368"/>
          <c:h val="0.147602108319566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Economic Losses from International  Trade and Human Health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Sheet1!$I$2:$I$3</c:f>
              <c:numCache>
                <c:formatCode>0.00</c:formatCode>
                <c:ptCount val="2"/>
                <c:pt idx="0">
                  <c:v>97.831551245520387</c:v>
                </c:pt>
                <c:pt idx="1">
                  <c:v>2.1684487544796127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530C-D59F-4AC6-943E-73645B3A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18690</Words>
  <Characters>106535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njai</dc:creator>
  <cp:lastModifiedBy>Winta Sintayehu Gebremariam</cp:lastModifiedBy>
  <cp:revision>2</cp:revision>
  <dcterms:created xsi:type="dcterms:W3CDTF">2015-09-18T08:29:00Z</dcterms:created>
  <dcterms:modified xsi:type="dcterms:W3CDTF">2015-09-18T08:29:00Z</dcterms:modified>
</cp:coreProperties>
</file>