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2" w:rsidRDefault="00F4578B" w:rsidP="00526F82">
      <w:pPr>
        <w:rPr>
          <w:rFonts w:ascii="Cambria" w:eastAsia="Times New Roman" w:hAnsi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000000"/>
          <w:sz w:val="24"/>
          <w:szCs w:val="24"/>
        </w:rPr>
        <w:t>Strategic A</w:t>
      </w:r>
      <w:r w:rsidR="00526F82" w:rsidRPr="002D163B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ction </w:t>
      </w:r>
      <w:r>
        <w:rPr>
          <w:rFonts w:ascii="Cambria" w:eastAsia="Times New Roman" w:hAnsi="Cambria"/>
          <w:b/>
          <w:bCs/>
          <w:color w:val="000000"/>
          <w:sz w:val="24"/>
          <w:szCs w:val="24"/>
        </w:rPr>
        <w:t>P</w:t>
      </w:r>
      <w:r w:rsidR="00526F82" w:rsidRPr="002D163B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lan for </w:t>
      </w:r>
      <w:r>
        <w:rPr>
          <w:rFonts w:ascii="Cambria" w:eastAsia="Times New Roman" w:hAnsi="Cambria"/>
          <w:b/>
          <w:bCs/>
          <w:color w:val="000000"/>
          <w:sz w:val="24"/>
          <w:szCs w:val="24"/>
        </w:rPr>
        <w:t>M</w:t>
      </w:r>
      <w:r w:rsidR="00526F82" w:rsidRPr="002D163B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itigation of the </w:t>
      </w:r>
      <w:r>
        <w:rPr>
          <w:rFonts w:ascii="Cambria" w:eastAsia="Times New Roman" w:hAnsi="Cambria"/>
          <w:b/>
          <w:bCs/>
          <w:color w:val="000000"/>
          <w:sz w:val="24"/>
          <w:szCs w:val="24"/>
        </w:rPr>
        <w:t>A</w:t>
      </w:r>
      <w:r w:rsidR="00526F82" w:rsidRPr="002D163B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flatoxin </w:t>
      </w:r>
      <w:r>
        <w:rPr>
          <w:rFonts w:ascii="Cambria" w:eastAsia="Times New Roman" w:hAnsi="Cambria"/>
          <w:b/>
          <w:bCs/>
          <w:color w:val="000000"/>
          <w:sz w:val="24"/>
          <w:szCs w:val="24"/>
        </w:rPr>
        <w:t>P</w:t>
      </w:r>
      <w:r w:rsidR="00526F82" w:rsidRPr="002D163B">
        <w:rPr>
          <w:rFonts w:ascii="Cambria" w:eastAsia="Times New Roman" w:hAnsi="Cambria"/>
          <w:b/>
          <w:bCs/>
          <w:color w:val="000000"/>
          <w:sz w:val="24"/>
          <w:szCs w:val="24"/>
        </w:rPr>
        <w:t>roblem in Uganda</w:t>
      </w:r>
      <w:r w:rsidR="005821C5">
        <w:rPr>
          <w:rFonts w:ascii="Cambria" w:eastAsia="Times New Roman" w:hAnsi="Cambria"/>
          <w:b/>
          <w:bCs/>
          <w:color w:val="000000"/>
          <w:sz w:val="24"/>
          <w:szCs w:val="24"/>
        </w:rPr>
        <w:t>-2015-2025</w:t>
      </w:r>
    </w:p>
    <w:tbl>
      <w:tblPr>
        <w:tblStyle w:val="TableGrid"/>
        <w:tblW w:w="13607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800"/>
        <w:gridCol w:w="2052"/>
        <w:gridCol w:w="198"/>
        <w:gridCol w:w="1359"/>
        <w:gridCol w:w="1604"/>
        <w:gridCol w:w="1537"/>
        <w:gridCol w:w="90"/>
        <w:gridCol w:w="2069"/>
      </w:tblGrid>
      <w:tr w:rsidR="00526F82" w:rsidTr="0056560E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SN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Outcome/outputs</w:t>
            </w:r>
          </w:p>
        </w:tc>
        <w:tc>
          <w:tcPr>
            <w:tcW w:w="1800" w:type="dxa"/>
          </w:tcPr>
          <w:p w:rsidR="00526F82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 xml:space="preserve">Objectively Verifiable Indicator 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</w:rPr>
              <w:t>(</w:t>
            </w: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OVI)</w:t>
            </w:r>
          </w:p>
        </w:tc>
        <w:tc>
          <w:tcPr>
            <w:tcW w:w="2052" w:type="dxa"/>
          </w:tcPr>
          <w:p w:rsidR="00526F82" w:rsidRPr="00527178" w:rsidRDefault="00526F82" w:rsidP="003D07F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Means of Verification</w:t>
            </w: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br/>
              <w:t>(MOV)</w:t>
            </w:r>
          </w:p>
        </w:tc>
        <w:tc>
          <w:tcPr>
            <w:tcW w:w="155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Term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Estimated cost (USD)</w:t>
            </w:r>
          </w:p>
        </w:tc>
        <w:tc>
          <w:tcPr>
            <w:tcW w:w="1537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Responsible Ministry/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Institution)</w:t>
            </w:r>
          </w:p>
        </w:tc>
        <w:tc>
          <w:tcPr>
            <w:tcW w:w="2159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Assumptions</w:t>
            </w:r>
            <w:r w:rsidR="005B011F">
              <w:rPr>
                <w:rStyle w:val="FootnoteReference"/>
                <w:rFonts w:ascii="Palatino Linotype" w:eastAsia="Times New Roman" w:hAnsi="Palatino Linotype"/>
                <w:b/>
                <w:bCs/>
                <w:color w:val="000000"/>
              </w:rPr>
              <w:footnoteReference w:id="1"/>
            </w:r>
          </w:p>
        </w:tc>
      </w:tr>
      <w:tr w:rsidR="00526F82" w:rsidTr="0056560E">
        <w:tc>
          <w:tcPr>
            <w:tcW w:w="13607" w:type="dxa"/>
            <w:gridSpan w:val="10"/>
            <w:shd w:val="clear" w:color="auto" w:fill="92D050"/>
          </w:tcPr>
          <w:p w:rsidR="00526F82" w:rsidRDefault="00526F82"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 xml:space="preserve">Thematic Area 1: </w:t>
            </w:r>
            <w:r w:rsidR="00687FCE">
              <w:rPr>
                <w:rFonts w:ascii="Palatino Linotype" w:eastAsia="Times New Roman" w:hAnsi="Palatino Linotype"/>
                <w:b/>
                <w:bCs/>
                <w:color w:val="000000"/>
              </w:rPr>
              <w:t>Effective aflatoxin management in agricultural value chains</w:t>
            </w:r>
          </w:p>
        </w:tc>
      </w:tr>
      <w:tr w:rsidR="00526F82" w:rsidTr="003D07F2">
        <w:tc>
          <w:tcPr>
            <w:tcW w:w="828" w:type="dxa"/>
            <w:shd w:val="clear" w:color="auto" w:fill="0070C0"/>
          </w:tcPr>
          <w:p w:rsidR="00526F82" w:rsidRPr="0017246D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0070C0"/>
          </w:tcPr>
          <w:p w:rsidR="00526F82" w:rsidRPr="0017246D" w:rsidRDefault="00526F82" w:rsidP="00F4578B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Outcome 1:  Reduced levels of aflatoxins in susceptible foods and feeds</w:t>
            </w:r>
          </w:p>
        </w:tc>
        <w:tc>
          <w:tcPr>
            <w:tcW w:w="1800" w:type="dxa"/>
            <w:shd w:val="clear" w:color="auto" w:fill="0070C0"/>
          </w:tcPr>
          <w:p w:rsidR="00526F82" w:rsidRPr="0017246D" w:rsidRDefault="005821C5" w:rsidP="00454B40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8</w:t>
            </w:r>
            <w:r w:rsidR="00526F82" w:rsidRPr="0017246D">
              <w:rPr>
                <w:rFonts w:ascii="Palatino Linotype" w:eastAsia="Times New Roman" w:hAnsi="Palatino Linotype"/>
                <w:bCs/>
                <w:color w:val="000000"/>
              </w:rPr>
              <w:t>0% of foods and feeds conformin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g to aflatoxin standards by 2025</w:t>
            </w:r>
          </w:p>
        </w:tc>
        <w:tc>
          <w:tcPr>
            <w:tcW w:w="2052" w:type="dxa"/>
            <w:shd w:val="clear" w:color="auto" w:fill="0070C0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MAAIF and MTIC/UNBS surveillance reports</w:t>
            </w:r>
          </w:p>
        </w:tc>
        <w:tc>
          <w:tcPr>
            <w:tcW w:w="1557" w:type="dxa"/>
            <w:gridSpan w:val="2"/>
            <w:shd w:val="clear" w:color="auto" w:fill="0070C0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0070C0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0070C0"/>
          </w:tcPr>
          <w:p w:rsidR="008652D3" w:rsidRPr="00846DB0" w:rsidDel="008652D3" w:rsidRDefault="00526F82" w:rsidP="008652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846DB0">
              <w:rPr>
                <w:rFonts w:ascii="Palatino Linotype" w:eastAsia="Times New Roman" w:hAnsi="Palatino Linotype"/>
                <w:bCs/>
                <w:color w:val="000000"/>
              </w:rPr>
              <w:t> </w:t>
            </w:r>
          </w:p>
          <w:p w:rsidR="00526F82" w:rsidRPr="00846DB0" w:rsidRDefault="00526F82" w:rsidP="008652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2069" w:type="dxa"/>
            <w:vMerge w:val="restart"/>
          </w:tcPr>
          <w:p w:rsidR="00526F82" w:rsidRPr="00527178" w:rsidRDefault="00526F82" w:rsidP="00526F82">
            <w:pPr>
              <w:numPr>
                <w:ilvl w:val="0"/>
                <w:numId w:val="2"/>
              </w:numPr>
              <w:spacing w:after="0" w:line="240" w:lineRule="auto"/>
              <w:ind w:left="431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Timely availability of resources  from Government and development partners</w:t>
            </w:r>
          </w:p>
          <w:p w:rsidR="00526F82" w:rsidRPr="00527178" w:rsidRDefault="00526F82" w:rsidP="00526F82">
            <w:pPr>
              <w:spacing w:after="0" w:line="240" w:lineRule="auto"/>
              <w:ind w:left="431" w:hanging="270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  <w:p w:rsidR="00526F82" w:rsidRPr="00527178" w:rsidRDefault="00526F82" w:rsidP="00526F82">
            <w:pPr>
              <w:numPr>
                <w:ilvl w:val="0"/>
                <w:numId w:val="2"/>
              </w:numPr>
              <w:spacing w:after="0" w:line="240" w:lineRule="auto"/>
              <w:ind w:left="431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Willingness of Key ministries to mainstream aflatoxin mitigation strategies into the sector </w:t>
            </w:r>
          </w:p>
          <w:p w:rsidR="00526F82" w:rsidRPr="005821C5" w:rsidRDefault="00526F82" w:rsidP="00526F82">
            <w:pPr>
              <w:pStyle w:val="ListParagraph"/>
              <w:numPr>
                <w:ilvl w:val="0"/>
                <w:numId w:val="2"/>
              </w:numPr>
              <w:ind w:left="431"/>
            </w:pPr>
            <w:r w:rsidRPr="00526F82">
              <w:rPr>
                <w:rFonts w:ascii="Palatino Linotype" w:eastAsia="Times New Roman" w:hAnsi="Palatino Linotype"/>
                <w:bCs/>
                <w:color w:val="000000"/>
              </w:rPr>
              <w:t>Conducive political  environment</w:t>
            </w:r>
          </w:p>
          <w:p w:rsidR="005821C5" w:rsidRPr="005821C5" w:rsidRDefault="005821C5" w:rsidP="00FF11DA">
            <w:pPr>
              <w:pStyle w:val="ListParagraph"/>
              <w:numPr>
                <w:ilvl w:val="0"/>
                <w:numId w:val="2"/>
              </w:numPr>
              <w:ind w:left="431" w:hanging="179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Local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governments willingness to mainstream aflatoxins activities</w:t>
            </w:r>
          </w:p>
          <w:p w:rsidR="005821C5" w:rsidRPr="0056560E" w:rsidRDefault="005821C5" w:rsidP="005821C5">
            <w:pPr>
              <w:pStyle w:val="ListParagraph"/>
              <w:numPr>
                <w:ilvl w:val="0"/>
                <w:numId w:val="2"/>
              </w:numPr>
              <w:ind w:left="431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Willingness of development partners to </w:t>
            </w:r>
            <w:r w:rsidR="0056560E">
              <w:rPr>
                <w:rFonts w:ascii="Palatino Linotype" w:eastAsia="Times New Roman" w:hAnsi="Palatino Linotype"/>
                <w:bCs/>
                <w:color w:val="000000"/>
              </w:rPr>
              <w:t>provide budgetary support</w:t>
            </w:r>
          </w:p>
          <w:p w:rsidR="0056560E" w:rsidRPr="0056560E" w:rsidRDefault="0056560E" w:rsidP="0056560E">
            <w:pPr>
              <w:pStyle w:val="ListParagraph"/>
              <w:numPr>
                <w:ilvl w:val="0"/>
                <w:numId w:val="2"/>
              </w:numPr>
              <w:ind w:left="431" w:hanging="269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Availability and willingness of trained human resource</w:t>
            </w:r>
          </w:p>
          <w:p w:rsidR="0056560E" w:rsidRDefault="0056560E" w:rsidP="0056560E">
            <w:pPr>
              <w:pStyle w:val="ListParagraph"/>
              <w:numPr>
                <w:ilvl w:val="0"/>
                <w:numId w:val="2"/>
              </w:numPr>
              <w:ind w:left="431" w:hanging="269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All stakeholders are willing to cooperate</w:t>
            </w:r>
          </w:p>
        </w:tc>
      </w:tr>
      <w:tr w:rsidR="00526F82" w:rsidTr="003D07F2">
        <w:tc>
          <w:tcPr>
            <w:tcW w:w="828" w:type="dxa"/>
            <w:shd w:val="clear" w:color="auto" w:fill="F79646" w:themeFill="accent6"/>
          </w:tcPr>
          <w:p w:rsidR="00526F82" w:rsidRPr="0017246D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1.1</w:t>
            </w:r>
          </w:p>
        </w:tc>
        <w:tc>
          <w:tcPr>
            <w:tcW w:w="2070" w:type="dxa"/>
            <w:shd w:val="clear" w:color="auto" w:fill="F79646" w:themeFill="accent6"/>
          </w:tcPr>
          <w:p w:rsidR="00526F82" w:rsidRPr="0017246D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 xml:space="preserve">Output 1.1:  Strengthened  capacity of </w:t>
            </w:r>
            <w:r w:rsidR="008652D3">
              <w:rPr>
                <w:rFonts w:ascii="Palatino Linotype" w:eastAsia="Times New Roman" w:hAnsi="Palatino Linotype"/>
                <w:bCs/>
                <w:color w:val="000000"/>
              </w:rPr>
              <w:t xml:space="preserve">extension workers and </w:t>
            </w: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 xml:space="preserve">farmers in Good Agricultural Practices (GAP) and post-harvest handling 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technologies</w:t>
            </w:r>
          </w:p>
        </w:tc>
        <w:tc>
          <w:tcPr>
            <w:tcW w:w="1800" w:type="dxa"/>
            <w:shd w:val="clear" w:color="auto" w:fill="F79646" w:themeFill="accent6"/>
          </w:tcPr>
          <w:p w:rsidR="00526F82" w:rsidRPr="0017246D" w:rsidRDefault="005821C5" w:rsidP="00454B40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8</w:t>
            </w:r>
            <w:r w:rsidR="00526F82" w:rsidRPr="0017246D">
              <w:rPr>
                <w:rFonts w:ascii="Palatino Linotype" w:eastAsia="Times New Roman" w:hAnsi="Palatino Linotype"/>
                <w:bCs/>
                <w:color w:val="000000"/>
              </w:rPr>
              <w:t xml:space="preserve">0% of the farmers </w:t>
            </w:r>
            <w:r w:rsidR="00F4578B">
              <w:rPr>
                <w:rFonts w:ascii="Palatino Linotype" w:eastAsia="Times New Roman" w:hAnsi="Palatino Linotype"/>
                <w:bCs/>
                <w:color w:val="000000"/>
              </w:rPr>
              <w:t xml:space="preserve">and extension staff </w:t>
            </w:r>
            <w:r w:rsidR="00526F82" w:rsidRPr="0017246D">
              <w:rPr>
                <w:rFonts w:ascii="Palatino Linotype" w:eastAsia="Times New Roman" w:hAnsi="Palatino Linotype"/>
                <w:bCs/>
                <w:color w:val="000000"/>
              </w:rPr>
              <w:t>practicing GAP and using improved    post-har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vest handling practices  by 2025</w:t>
            </w:r>
          </w:p>
        </w:tc>
        <w:tc>
          <w:tcPr>
            <w:tcW w:w="2052" w:type="dxa"/>
            <w:shd w:val="clear" w:color="auto" w:fill="F79646" w:themeFill="accent6"/>
          </w:tcPr>
          <w:p w:rsidR="00526F82" w:rsidRPr="0017246D" w:rsidRDefault="00526F82" w:rsidP="00F4578B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MAAIF field reports</w:t>
            </w:r>
          </w:p>
        </w:tc>
        <w:tc>
          <w:tcPr>
            <w:tcW w:w="1557" w:type="dxa"/>
            <w:gridSpan w:val="2"/>
            <w:shd w:val="clear" w:color="auto" w:fill="F79646" w:themeFill="accent6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F79646" w:themeFill="accent6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 </w:t>
            </w: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3C583C" w:rsidTr="003D07F2">
        <w:tc>
          <w:tcPr>
            <w:tcW w:w="828" w:type="dxa"/>
          </w:tcPr>
          <w:p w:rsidR="003C583C" w:rsidRPr="00527178" w:rsidRDefault="003C583C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1.1.1</w:t>
            </w:r>
          </w:p>
        </w:tc>
        <w:tc>
          <w:tcPr>
            <w:tcW w:w="2070" w:type="dxa"/>
          </w:tcPr>
          <w:p w:rsidR="003C583C" w:rsidRPr="00527178" w:rsidRDefault="003C583C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Develop standard operating procedures </w:t>
            </w:r>
            <w:r w:rsidR="008652D3">
              <w:rPr>
                <w:rFonts w:ascii="Palatino Linotype" w:eastAsia="Times New Roman" w:hAnsi="Palatino Linotype"/>
                <w:bCs/>
                <w:color w:val="000000"/>
              </w:rPr>
              <w:t xml:space="preserve">(SOPs)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for aflatoxin management at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farm level</w:t>
            </w:r>
          </w:p>
        </w:tc>
        <w:tc>
          <w:tcPr>
            <w:tcW w:w="1800" w:type="dxa"/>
          </w:tcPr>
          <w:p w:rsidR="003C583C" w:rsidRDefault="008652D3" w:rsidP="00F4578B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 xml:space="preserve">SOPs for managing aflatoxins in vulnerable crops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developed by 2018</w:t>
            </w:r>
          </w:p>
        </w:tc>
        <w:tc>
          <w:tcPr>
            <w:tcW w:w="2052" w:type="dxa"/>
          </w:tcPr>
          <w:p w:rsidR="003C583C" w:rsidRPr="00527178" w:rsidRDefault="008652D3" w:rsidP="00F4578B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MAAIF reports; Copies of SOPs developed</w:t>
            </w:r>
          </w:p>
        </w:tc>
        <w:tc>
          <w:tcPr>
            <w:tcW w:w="1557" w:type="dxa"/>
            <w:gridSpan w:val="2"/>
          </w:tcPr>
          <w:p w:rsidR="003C583C" w:rsidRPr="00527178" w:rsidRDefault="008652D3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Short</w:t>
            </w:r>
          </w:p>
        </w:tc>
        <w:tc>
          <w:tcPr>
            <w:tcW w:w="1604" w:type="dxa"/>
          </w:tcPr>
          <w:p w:rsidR="003C583C" w:rsidRPr="00527178" w:rsidRDefault="008652D3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35,000</w:t>
            </w:r>
          </w:p>
        </w:tc>
        <w:tc>
          <w:tcPr>
            <w:tcW w:w="1627" w:type="dxa"/>
            <w:gridSpan w:val="2"/>
          </w:tcPr>
          <w:p w:rsidR="003C583C" w:rsidRPr="00527178" w:rsidRDefault="008652D3" w:rsidP="00BA2035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MAAIF (Lead</w:t>
            </w:r>
            <w:r w:rsidR="00032B3C">
              <w:rPr>
                <w:rFonts w:ascii="Palatino Linotype" w:eastAsia="Times New Roman" w:hAnsi="Palatino Linotype"/>
                <w:bCs/>
                <w:color w:val="000000"/>
              </w:rPr>
              <w:t>s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), Academia, PACA</w:t>
            </w:r>
          </w:p>
        </w:tc>
        <w:tc>
          <w:tcPr>
            <w:tcW w:w="2069" w:type="dxa"/>
            <w:vMerge/>
          </w:tcPr>
          <w:p w:rsidR="003C583C" w:rsidRDefault="003C583C" w:rsidP="00526F82"/>
        </w:tc>
      </w:tr>
      <w:tr w:rsidR="00526F82" w:rsidTr="003D07F2">
        <w:tc>
          <w:tcPr>
            <w:tcW w:w="828" w:type="dxa"/>
          </w:tcPr>
          <w:p w:rsidR="00526F82" w:rsidRPr="00527178" w:rsidRDefault="00526F82" w:rsidP="008652D3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1.1.</w:t>
            </w:r>
            <w:r w:rsidR="008652D3">
              <w:rPr>
                <w:rFonts w:ascii="Palatino Linotype" w:eastAsia="Times New Roman" w:hAnsi="Palatino Linotype"/>
                <w:bCs/>
                <w:color w:val="000000"/>
              </w:rPr>
              <w:t>2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Building the capacity of extension staff in management of aflatoxins</w:t>
            </w:r>
          </w:p>
        </w:tc>
        <w:tc>
          <w:tcPr>
            <w:tcW w:w="1800" w:type="dxa"/>
          </w:tcPr>
          <w:p w:rsidR="00526F82" w:rsidRPr="00527178" w:rsidRDefault="005821C5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9</w:t>
            </w:r>
            <w:r w:rsidR="00526F82"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0% of extension staff trained in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management of aflatoxins by 2025</w:t>
            </w:r>
          </w:p>
        </w:tc>
        <w:tc>
          <w:tcPr>
            <w:tcW w:w="2052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 training reports</w:t>
            </w:r>
          </w:p>
        </w:tc>
        <w:tc>
          <w:tcPr>
            <w:tcW w:w="155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Long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50,000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</w:t>
            </w: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rPr>
          <w:trHeight w:val="2537"/>
        </w:trPr>
        <w:tc>
          <w:tcPr>
            <w:tcW w:w="828" w:type="dxa"/>
          </w:tcPr>
          <w:p w:rsidR="00526F82" w:rsidRPr="00527178" w:rsidRDefault="00526F82" w:rsidP="008652D3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1.1.</w:t>
            </w:r>
            <w:r w:rsidR="008652D3">
              <w:rPr>
                <w:rFonts w:ascii="Palatino Linotype" w:eastAsia="Times New Roman" w:hAnsi="Palatino Linotype"/>
                <w:bCs/>
                <w:color w:val="000000"/>
              </w:rPr>
              <w:t>3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Training of farmers in aflatoxin management practices (both pre-and postharvest practices)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1800" w:type="dxa"/>
          </w:tcPr>
          <w:p w:rsidR="00526F82" w:rsidRPr="00F043FC" w:rsidRDefault="005821C5" w:rsidP="008634BA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At least 95</w:t>
            </w:r>
            <w:r w:rsidR="00526F82" w:rsidRPr="00F043FC">
              <w:rPr>
                <w:rFonts w:ascii="Palatino Linotype" w:eastAsia="Times New Roman" w:hAnsi="Palatino Linotype"/>
                <w:bCs/>
                <w:color w:val="000000"/>
              </w:rPr>
              <w:t>% of the farmers in all the districts trained in aflatoxi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n control and prevention by 2025</w:t>
            </w:r>
          </w:p>
        </w:tc>
        <w:tc>
          <w:tcPr>
            <w:tcW w:w="2052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Training reports from MAAIF</w:t>
            </w:r>
          </w:p>
        </w:tc>
        <w:tc>
          <w:tcPr>
            <w:tcW w:w="155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Long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250,000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</w:t>
            </w: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c>
          <w:tcPr>
            <w:tcW w:w="828" w:type="dxa"/>
          </w:tcPr>
          <w:p w:rsidR="00526F82" w:rsidRPr="00527178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1.1.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4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FF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Conduct applied research on improved post-harvest handling technologies</w:t>
            </w:r>
          </w:p>
        </w:tc>
        <w:tc>
          <w:tcPr>
            <w:tcW w:w="1800" w:type="dxa"/>
          </w:tcPr>
          <w:p w:rsidR="00526F82" w:rsidRPr="00527178" w:rsidRDefault="00526F82" w:rsidP="008634BA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At least two improved post-harvest handlin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>g technologies developed by 2020</w:t>
            </w:r>
          </w:p>
        </w:tc>
        <w:tc>
          <w:tcPr>
            <w:tcW w:w="2052" w:type="dxa"/>
          </w:tcPr>
          <w:p w:rsidR="00526F82" w:rsidRDefault="005821C5" w:rsidP="006B574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Reports from MAAIF</w:t>
            </w:r>
          </w:p>
          <w:p w:rsidR="005821C5" w:rsidRPr="00527178" w:rsidRDefault="005821C5" w:rsidP="006B574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Technologies developed </w:t>
            </w:r>
          </w:p>
        </w:tc>
        <w:tc>
          <w:tcPr>
            <w:tcW w:w="1557" w:type="dxa"/>
            <w:gridSpan w:val="2"/>
          </w:tcPr>
          <w:p w:rsidR="00526F82" w:rsidRPr="00527178" w:rsidRDefault="005821C5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72,000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</w:t>
            </w: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c>
          <w:tcPr>
            <w:tcW w:w="828" w:type="dxa"/>
          </w:tcPr>
          <w:p w:rsidR="00526F82" w:rsidRPr="00527178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1.1.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5</w:t>
            </w:r>
          </w:p>
        </w:tc>
        <w:tc>
          <w:tcPr>
            <w:tcW w:w="2070" w:type="dxa"/>
          </w:tcPr>
          <w:p w:rsidR="00526F82" w:rsidRPr="00527178" w:rsidRDefault="00526F82" w:rsidP="00EE4A8A">
            <w:pPr>
              <w:pBdr>
                <w:bottom w:val="single" w:sz="4" w:space="1" w:color="auto"/>
              </w:pBd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Promote adoption of improved post-ha</w:t>
            </w:r>
            <w:r w:rsidR="003D07F2">
              <w:rPr>
                <w:rFonts w:ascii="Palatino Linotype" w:eastAsia="Times New Roman" w:hAnsi="Palatino Linotype"/>
                <w:bCs/>
                <w:color w:val="000000"/>
              </w:rPr>
              <w:t>rvest handling technologies (e.g.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 drying, shelling/threshing, storage)</w:t>
            </w:r>
          </w:p>
        </w:tc>
        <w:tc>
          <w:tcPr>
            <w:tcW w:w="1800" w:type="dxa"/>
          </w:tcPr>
          <w:p w:rsidR="00526F82" w:rsidRPr="00527178" w:rsidRDefault="00526F82" w:rsidP="008634BA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At least </w:t>
            </w:r>
            <w:r w:rsidR="006B574E">
              <w:rPr>
                <w:rFonts w:ascii="Palatino Linotype" w:eastAsia="Times New Roman" w:hAnsi="Palatino Linotype"/>
                <w:bCs/>
                <w:color w:val="000000"/>
              </w:rPr>
              <w:t xml:space="preserve">two 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technologies promoted  at different levels o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>f the postharvest stage by 2020</w:t>
            </w:r>
          </w:p>
        </w:tc>
        <w:tc>
          <w:tcPr>
            <w:tcW w:w="2052" w:type="dxa"/>
          </w:tcPr>
          <w:p w:rsidR="00526F82" w:rsidRDefault="00526F82" w:rsidP="006B574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Reports from MAAIF</w:t>
            </w:r>
          </w:p>
          <w:p w:rsidR="005821C5" w:rsidRPr="00527178" w:rsidRDefault="005821C5" w:rsidP="006B574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Developed</w:t>
            </w:r>
            <w:r w:rsidR="006B574E">
              <w:rPr>
                <w:rFonts w:ascii="Palatino Linotype" w:eastAsia="Times New Roman" w:hAnsi="Palatino Linotype"/>
                <w:bCs/>
                <w:color w:val="000000"/>
              </w:rPr>
              <w:t>;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 technologies being used by farmers</w:t>
            </w:r>
          </w:p>
        </w:tc>
        <w:tc>
          <w:tcPr>
            <w:tcW w:w="155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40,000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1.1.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6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Strengthen capacity of local governments in monitoring and management of aflatoxins 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1800" w:type="dxa"/>
          </w:tcPr>
          <w:p w:rsidR="00526F82" w:rsidRPr="00527178" w:rsidRDefault="00526F82" w:rsidP="006B574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All local governments </w:t>
            </w:r>
            <w:r w:rsidR="00EE4A8A">
              <w:rPr>
                <w:rFonts w:ascii="Palatino Linotype" w:eastAsia="Times New Roman" w:hAnsi="Palatino Linotype"/>
                <w:bCs/>
                <w:color w:val="000000"/>
              </w:rPr>
              <w:t>have the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 capacity to monito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>r and manage  aflatoxins by 2020</w:t>
            </w:r>
          </w:p>
        </w:tc>
        <w:tc>
          <w:tcPr>
            <w:tcW w:w="2052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 training reports</w:t>
            </w:r>
          </w:p>
        </w:tc>
        <w:tc>
          <w:tcPr>
            <w:tcW w:w="155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133,000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MAAIF (Lead</w:t>
            </w:r>
            <w:r w:rsidR="00032B3C">
              <w:rPr>
                <w:rFonts w:ascii="Palatino Linotype" w:eastAsia="Times New Roman" w:hAnsi="Palatino Linotype"/>
                <w:bCs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)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Academia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Research institutions</w:t>
            </w: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1.1.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7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Integrate aflatoxin control  measures in  local governments’ policies, plans and budgets  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1800" w:type="dxa"/>
          </w:tcPr>
          <w:p w:rsidR="00526F82" w:rsidRPr="00527178" w:rsidRDefault="005821C5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At least 80</w:t>
            </w:r>
            <w:r w:rsidR="00526F82"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   districts  incorporating aflatoxin control activities in their budgets </w:t>
            </w:r>
            <w:r w:rsidR="00445CD3">
              <w:rPr>
                <w:rFonts w:ascii="Palatino Linotype" w:eastAsia="Times New Roman" w:hAnsi="Palatino Linotype"/>
                <w:bCs/>
                <w:color w:val="000000"/>
              </w:rPr>
              <w:t xml:space="preserve">by </w:t>
            </w:r>
            <w:r w:rsidR="00591BBE" w:rsidRPr="00527178">
              <w:rPr>
                <w:rFonts w:ascii="Palatino Linotype" w:eastAsia="Times New Roman" w:hAnsi="Palatino Linotype"/>
                <w:bCs/>
                <w:color w:val="000000"/>
              </w:rPr>
              <w:t>2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020</w:t>
            </w:r>
          </w:p>
        </w:tc>
        <w:tc>
          <w:tcPr>
            <w:tcW w:w="2052" w:type="dxa"/>
          </w:tcPr>
          <w:p w:rsidR="00526F82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District Budget documents</w:t>
            </w:r>
            <w:r w:rsidR="000C7304">
              <w:rPr>
                <w:rFonts w:ascii="Palatino Linotype" w:eastAsia="Times New Roman" w:hAnsi="Palatino Linotype"/>
                <w:bCs/>
                <w:color w:val="000000"/>
              </w:rPr>
              <w:t>;</w:t>
            </w:r>
          </w:p>
          <w:p w:rsidR="005821C5" w:rsidRPr="00527178" w:rsidRDefault="005821C5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District activity plans</w:t>
            </w:r>
          </w:p>
        </w:tc>
        <w:tc>
          <w:tcPr>
            <w:tcW w:w="1557" w:type="dxa"/>
            <w:gridSpan w:val="2"/>
          </w:tcPr>
          <w:p w:rsidR="00526F82" w:rsidRPr="00527178" w:rsidRDefault="003D07F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Me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50,000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Ministry of Local Government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bCs/>
                <w:color w:val="000000"/>
              </w:rPr>
              <w:t>s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>)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 MAAIF, MTIC</w:t>
            </w:r>
          </w:p>
        </w:tc>
        <w:tc>
          <w:tcPr>
            <w:tcW w:w="2069" w:type="dxa"/>
            <w:vMerge/>
          </w:tcPr>
          <w:p w:rsidR="00526F82" w:rsidRDefault="00526F82" w:rsidP="00526F82"/>
        </w:tc>
      </w:tr>
      <w:tr w:rsidR="00526F82" w:rsidTr="003D07F2">
        <w:tc>
          <w:tcPr>
            <w:tcW w:w="828" w:type="dxa"/>
          </w:tcPr>
          <w:p w:rsidR="00526F82" w:rsidRPr="0017246D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1.1.</w:t>
            </w:r>
            <w:r w:rsidR="00591BBE">
              <w:rPr>
                <w:rFonts w:ascii="Palatino Linotype" w:eastAsia="Times New Roman" w:hAnsi="Palatino Linotype"/>
                <w:bCs/>
                <w:color w:val="000000"/>
              </w:rPr>
              <w:t>8</w:t>
            </w:r>
          </w:p>
        </w:tc>
        <w:tc>
          <w:tcPr>
            <w:tcW w:w="2070" w:type="dxa"/>
          </w:tcPr>
          <w:p w:rsidR="00526F82" w:rsidRPr="0017246D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D02C43">
              <w:rPr>
                <w:rFonts w:ascii="Palatino Linotype" w:eastAsia="Times New Roman" w:hAnsi="Palatino Linotype"/>
                <w:bCs/>
                <w:color w:val="000000"/>
              </w:rPr>
              <w:t>Improved coordination of aflatoxin control services amongst the different institutions</w:t>
            </w:r>
          </w:p>
        </w:tc>
        <w:tc>
          <w:tcPr>
            <w:tcW w:w="1800" w:type="dxa"/>
          </w:tcPr>
          <w:p w:rsidR="00526F82" w:rsidRPr="0017246D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 xml:space="preserve">Staff assigned to coordinate aflatoxin issues in MAAIF, MTIC and </w:t>
            </w:r>
            <w:proofErr w:type="spellStart"/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MoH</w:t>
            </w:r>
            <w:proofErr w:type="spellEnd"/>
            <w:r w:rsidR="00BA2035">
              <w:rPr>
                <w:rFonts w:ascii="Palatino Linotype" w:eastAsia="Times New Roman" w:hAnsi="Palatino Linotype"/>
                <w:bCs/>
                <w:color w:val="000000"/>
              </w:rPr>
              <w:t xml:space="preserve"> </w:t>
            </w:r>
            <w:r w:rsidR="005821C5">
              <w:rPr>
                <w:rFonts w:ascii="Palatino Linotype" w:eastAsia="Times New Roman" w:hAnsi="Palatino Linotype"/>
                <w:bCs/>
                <w:color w:val="000000"/>
              </w:rPr>
              <w:t>by 2018</w:t>
            </w:r>
          </w:p>
        </w:tc>
        <w:tc>
          <w:tcPr>
            <w:tcW w:w="2052" w:type="dxa"/>
          </w:tcPr>
          <w:p w:rsidR="00526F82" w:rsidRPr="0017246D" w:rsidRDefault="00F076B3" w:rsidP="000C7304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 xml:space="preserve">Reports from MAAIF, MTIC and </w:t>
            </w:r>
            <w:proofErr w:type="spellStart"/>
            <w:r>
              <w:rPr>
                <w:rFonts w:ascii="Palatino Linotype" w:eastAsia="Times New Roman" w:hAnsi="Palatino Linotype"/>
                <w:bCs/>
                <w:color w:val="000000"/>
              </w:rPr>
              <w:t>Mo</w:t>
            </w:r>
            <w:r w:rsidR="00526F82" w:rsidRPr="0017246D">
              <w:rPr>
                <w:rFonts w:ascii="Palatino Linotype" w:eastAsia="Times New Roman" w:hAnsi="Palatino Linotype"/>
                <w:bCs/>
                <w:color w:val="000000"/>
              </w:rPr>
              <w:t>H</w:t>
            </w:r>
            <w:proofErr w:type="spellEnd"/>
          </w:p>
        </w:tc>
        <w:tc>
          <w:tcPr>
            <w:tcW w:w="1557" w:type="dxa"/>
            <w:gridSpan w:val="2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Short</w:t>
            </w:r>
          </w:p>
        </w:tc>
        <w:tc>
          <w:tcPr>
            <w:tcW w:w="1604" w:type="dxa"/>
          </w:tcPr>
          <w:p w:rsidR="00526F82" w:rsidRPr="0017246D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60,000</w:t>
            </w:r>
          </w:p>
        </w:tc>
        <w:tc>
          <w:tcPr>
            <w:tcW w:w="1627" w:type="dxa"/>
            <w:gridSpan w:val="2"/>
          </w:tcPr>
          <w:p w:rsidR="00526F82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bCs/>
                <w:color w:val="000000"/>
              </w:rPr>
              <w:t>MAAIF</w:t>
            </w:r>
            <w:r w:rsidR="00032B3C">
              <w:rPr>
                <w:rFonts w:ascii="Palatino Linotype" w:eastAsia="Times New Roman" w:hAnsi="Palatino Linotype"/>
                <w:bCs/>
                <w:color w:val="000000"/>
              </w:rPr>
              <w:t xml:space="preserve"> (L</w:t>
            </w:r>
            <w:r w:rsidR="00BA2035">
              <w:rPr>
                <w:rFonts w:ascii="Palatino Linotype" w:eastAsia="Times New Roman" w:hAnsi="Palatino Linotype"/>
                <w:bCs/>
                <w:color w:val="000000"/>
              </w:rPr>
              <w:t>eads),</w:t>
            </w:r>
          </w:p>
          <w:p w:rsidR="00BA2035" w:rsidRPr="0017246D" w:rsidRDefault="00BA2035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bCs/>
                <w:color w:val="000000"/>
              </w:rPr>
              <w:t>MoH</w:t>
            </w:r>
            <w:proofErr w:type="spellEnd"/>
            <w:r>
              <w:rPr>
                <w:rFonts w:ascii="Palatino Linotype" w:eastAsia="Times New Roman" w:hAnsi="Palatino Linotype"/>
                <w:bCs/>
                <w:color w:val="000000"/>
              </w:rPr>
              <w:t>, PACA, MTIC</w:t>
            </w:r>
          </w:p>
        </w:tc>
        <w:tc>
          <w:tcPr>
            <w:tcW w:w="2069" w:type="dxa"/>
            <w:vMerge w:val="restart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</w:tr>
      <w:tr w:rsidR="00526F82" w:rsidTr="003D07F2">
        <w:tc>
          <w:tcPr>
            <w:tcW w:w="828" w:type="dxa"/>
            <w:shd w:val="clear" w:color="auto" w:fill="F79646" w:themeFill="accent6"/>
          </w:tcPr>
          <w:p w:rsidR="00526F82" w:rsidRPr="00527178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1.2</w:t>
            </w:r>
          </w:p>
        </w:tc>
        <w:tc>
          <w:tcPr>
            <w:tcW w:w="2070" w:type="dxa"/>
            <w:shd w:val="clear" w:color="auto" w:fill="F79646" w:themeFill="accent6"/>
          </w:tcPr>
          <w:p w:rsidR="00526F82" w:rsidRPr="0017246D" w:rsidRDefault="00526F82" w:rsidP="00591BBE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17246D">
              <w:rPr>
                <w:rFonts w:ascii="Palatino Linotype" w:eastAsia="Times New Roman" w:hAnsi="Palatino Linotype"/>
                <w:color w:val="000000"/>
              </w:rPr>
              <w:t xml:space="preserve">Output 1.2: </w:t>
            </w:r>
            <w:r w:rsidRPr="0017246D">
              <w:rPr>
                <w:rFonts w:ascii="Palatino Linotype" w:eastAsia="Times New Roman" w:hAnsi="Palatino Linotype"/>
                <w:color w:val="000000"/>
                <w:kern w:val="24"/>
              </w:rPr>
              <w:t xml:space="preserve"> Enhanced capacity of   traders, transporters and processors of food and feed to </w:t>
            </w:r>
            <w:r w:rsidRPr="0017246D">
              <w:rPr>
                <w:rFonts w:ascii="Palatino Linotype" w:eastAsia="Times New Roman" w:hAnsi="Palatino Linotype"/>
                <w:color w:val="000000"/>
              </w:rPr>
              <w:t>manage aflatoxins</w:t>
            </w:r>
          </w:p>
        </w:tc>
        <w:tc>
          <w:tcPr>
            <w:tcW w:w="1800" w:type="dxa"/>
            <w:shd w:val="clear" w:color="auto" w:fill="F79646" w:themeFill="accent6"/>
          </w:tcPr>
          <w:p w:rsidR="00526F82" w:rsidRPr="00527178" w:rsidRDefault="005821C5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At least 8</w:t>
            </w:r>
            <w:r w:rsidR="00526F82" w:rsidRPr="00527178">
              <w:rPr>
                <w:rFonts w:ascii="Palatino Linotype" w:eastAsia="Times New Roman" w:hAnsi="Palatino Linotype"/>
                <w:color w:val="000000"/>
              </w:rPr>
              <w:t xml:space="preserve">0%  of the traders, transporters  and processors’ capacity enhanced  </w:t>
            </w:r>
            <w:r>
              <w:rPr>
                <w:rFonts w:ascii="Palatino Linotype" w:eastAsia="Times New Roman" w:hAnsi="Palatino Linotype"/>
                <w:color w:val="000000"/>
              </w:rPr>
              <w:t>to manage aflatoxins by  2025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52" w:type="dxa"/>
            <w:shd w:val="clear" w:color="auto" w:fill="F79646" w:themeFill="accent6"/>
          </w:tcPr>
          <w:p w:rsidR="00526F82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Training reports from MTIC</w:t>
            </w:r>
          </w:p>
          <w:p w:rsidR="005821C5" w:rsidRPr="00527178" w:rsidRDefault="005821C5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557" w:type="dxa"/>
            <w:gridSpan w:val="2"/>
            <w:shd w:val="clear" w:color="auto" w:fill="F79646" w:themeFill="accent6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F79646" w:themeFill="accent6"/>
          </w:tcPr>
          <w:p w:rsidR="00526F82" w:rsidRPr="00527178" w:rsidRDefault="00526F82" w:rsidP="00526F8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  <w:vMerge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1.2.1</w:t>
            </w:r>
          </w:p>
        </w:tc>
        <w:tc>
          <w:tcPr>
            <w:tcW w:w="2070" w:type="dxa"/>
          </w:tcPr>
          <w:p w:rsidR="00526F82" w:rsidRPr="00527178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Create a database of traders, transporters and processors</w:t>
            </w:r>
          </w:p>
        </w:tc>
        <w:tc>
          <w:tcPr>
            <w:tcW w:w="1800" w:type="dxa"/>
          </w:tcPr>
          <w:p w:rsidR="00526F82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Database of traders, transporters and processors established and operationalized by 2018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highlight w:val="red"/>
              </w:rPr>
            </w:pPr>
          </w:p>
        </w:tc>
        <w:tc>
          <w:tcPr>
            <w:tcW w:w="2052" w:type="dxa"/>
          </w:tcPr>
          <w:p w:rsidR="00526F82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reports</w:t>
            </w:r>
          </w:p>
          <w:p w:rsidR="0056560E" w:rsidRPr="00527178" w:rsidRDefault="0056560E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Functional data base</w:t>
            </w:r>
          </w:p>
        </w:tc>
        <w:tc>
          <w:tcPr>
            <w:tcW w:w="1557" w:type="dxa"/>
            <w:gridSpan w:val="2"/>
          </w:tcPr>
          <w:p w:rsidR="00526F82" w:rsidRPr="00527178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Short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123,000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</w:t>
            </w:r>
          </w:p>
        </w:tc>
        <w:tc>
          <w:tcPr>
            <w:tcW w:w="2069" w:type="dxa"/>
            <w:vMerge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1.2.2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Training traders , transporters  and processors  in quality control and  assurance with respect to aflatoxin contamination</w:t>
            </w:r>
          </w:p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526F82" w:rsidRPr="00527178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At least 100 traders, transporters and  processors per district trained  in quality control and  assurance with respect to aflatoxin contamination by 2020</w:t>
            </w:r>
          </w:p>
        </w:tc>
        <w:tc>
          <w:tcPr>
            <w:tcW w:w="2052" w:type="dxa"/>
          </w:tcPr>
          <w:p w:rsidR="00526F82" w:rsidRPr="00527178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Training reports from MTIC</w:t>
            </w:r>
          </w:p>
        </w:tc>
        <w:tc>
          <w:tcPr>
            <w:tcW w:w="1557" w:type="dxa"/>
            <w:gridSpan w:val="2"/>
          </w:tcPr>
          <w:p w:rsidR="00526F82" w:rsidRPr="00527178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150,000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</w:p>
        </w:tc>
        <w:tc>
          <w:tcPr>
            <w:tcW w:w="2069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1.2.3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Strengthen capacity of traders, transporters and processors to form  groups/cooperatives to enable them acquire improved produce handling technologies </w:t>
            </w:r>
          </w:p>
        </w:tc>
        <w:tc>
          <w:tcPr>
            <w:tcW w:w="1800" w:type="dxa"/>
          </w:tcPr>
          <w:p w:rsidR="00526F82" w:rsidRPr="00527178" w:rsidRDefault="00526F82" w:rsidP="000C7304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At least 2 groups/cooperatives formed amongst traders, transporters and processors in 80% of the districts  by  2020</w:t>
            </w:r>
          </w:p>
        </w:tc>
        <w:tc>
          <w:tcPr>
            <w:tcW w:w="2052" w:type="dxa"/>
          </w:tcPr>
          <w:p w:rsidR="00526F82" w:rsidRPr="00527178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reports</w:t>
            </w:r>
          </w:p>
        </w:tc>
        <w:tc>
          <w:tcPr>
            <w:tcW w:w="1557" w:type="dxa"/>
            <w:gridSpan w:val="2"/>
          </w:tcPr>
          <w:p w:rsidR="00526F82" w:rsidRPr="00527178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100,000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Local </w:t>
            </w:r>
            <w:r w:rsidR="00614E4A">
              <w:rPr>
                <w:rFonts w:ascii="Palatino Linotype" w:eastAsia="Times New Roman" w:hAnsi="Palatino Linotype"/>
                <w:color w:val="000000"/>
              </w:rPr>
              <w:t>G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overnments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  <w:vMerge w:val="restart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</w:tr>
      <w:tr w:rsidR="00526F82" w:rsidTr="003D07F2">
        <w:tc>
          <w:tcPr>
            <w:tcW w:w="828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1.2.4</w:t>
            </w:r>
          </w:p>
        </w:tc>
        <w:tc>
          <w:tcPr>
            <w:tcW w:w="2070" w:type="dxa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Develop</w:t>
            </w:r>
            <w:r w:rsidR="00105822">
              <w:rPr>
                <w:rFonts w:ascii="Palatino Linotype" w:eastAsia="Times New Roman" w:hAnsi="Palatino Linotype"/>
                <w:bCs/>
                <w:color w:val="000000"/>
              </w:rPr>
              <w:t xml:space="preserve"> 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&amp; promote cost effective alternative uses of aflatoxin contaminated produce </w:t>
            </w:r>
          </w:p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</w:p>
        </w:tc>
        <w:tc>
          <w:tcPr>
            <w:tcW w:w="1800" w:type="dxa"/>
          </w:tcPr>
          <w:p w:rsidR="00526F82" w:rsidRPr="00527178" w:rsidRDefault="00526F82" w:rsidP="0056560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At least  2  cost effective alternative uses of aflatoxin contaminated produce developed 2020</w:t>
            </w:r>
          </w:p>
        </w:tc>
        <w:tc>
          <w:tcPr>
            <w:tcW w:w="2052" w:type="dxa"/>
          </w:tcPr>
          <w:p w:rsidR="00526F82" w:rsidRDefault="00526F82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 reports</w:t>
            </w:r>
          </w:p>
          <w:p w:rsidR="0056560E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56560E" w:rsidRPr="00527178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Technologies developed</w:t>
            </w:r>
          </w:p>
        </w:tc>
        <w:tc>
          <w:tcPr>
            <w:tcW w:w="1557" w:type="dxa"/>
            <w:gridSpan w:val="2"/>
          </w:tcPr>
          <w:p w:rsidR="00526F82" w:rsidRPr="00527178" w:rsidRDefault="0056560E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26F82" w:rsidRPr="00527178" w:rsidRDefault="0010582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115</w:t>
            </w:r>
            <w:r w:rsidR="00526F82" w:rsidRPr="00527178">
              <w:rPr>
                <w:rFonts w:ascii="Palatino Linotype" w:eastAsia="Times New Roman" w:hAnsi="Palatino Linotype"/>
                <w:color w:val="000000"/>
              </w:rPr>
              <w:t>,000</w:t>
            </w:r>
          </w:p>
        </w:tc>
        <w:tc>
          <w:tcPr>
            <w:tcW w:w="1627" w:type="dxa"/>
            <w:gridSpan w:val="2"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105822">
              <w:rPr>
                <w:rFonts w:ascii="Palatino Linotype" w:eastAsia="Times New Roman" w:hAnsi="Palatino Linotype"/>
                <w:color w:val="000000"/>
              </w:rPr>
              <w:t xml:space="preserve"> (Leads), Academia, PACA, Development partners</w:t>
            </w:r>
          </w:p>
        </w:tc>
        <w:tc>
          <w:tcPr>
            <w:tcW w:w="2069" w:type="dxa"/>
            <w:vMerge/>
          </w:tcPr>
          <w:p w:rsidR="00526F82" w:rsidRPr="00527178" w:rsidRDefault="00526F82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</w:tr>
      <w:tr w:rsidR="00526F82" w:rsidTr="0056560E">
        <w:tc>
          <w:tcPr>
            <w:tcW w:w="13607" w:type="dxa"/>
            <w:gridSpan w:val="10"/>
            <w:shd w:val="clear" w:color="auto" w:fill="00B050"/>
          </w:tcPr>
          <w:p w:rsidR="00526F82" w:rsidRDefault="00526F82" w:rsidP="00526F82">
            <w:r w:rsidRPr="00527178">
              <w:rPr>
                <w:rFonts w:ascii="Palatino Linotype" w:eastAsia="Times New Roman" w:hAnsi="Palatino Linotype"/>
                <w:b/>
                <w:color w:val="000000"/>
              </w:rPr>
              <w:t>Thematic Area 2: Public awareness and advocacy</w:t>
            </w:r>
          </w:p>
        </w:tc>
      </w:tr>
      <w:tr w:rsidR="00DB7109" w:rsidTr="00445CD3">
        <w:tc>
          <w:tcPr>
            <w:tcW w:w="828" w:type="dxa"/>
            <w:shd w:val="clear" w:color="auto" w:fill="00B0F0"/>
          </w:tcPr>
          <w:p w:rsidR="00DB7109" w:rsidRPr="00511306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00B0F0"/>
          </w:tcPr>
          <w:p w:rsidR="00DB7109" w:rsidRPr="00511306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Outcome 2: Improved aflatoxin awareness across the entire food and feed system</w:t>
            </w:r>
          </w:p>
        </w:tc>
        <w:tc>
          <w:tcPr>
            <w:tcW w:w="1800" w:type="dxa"/>
            <w:shd w:val="clear" w:color="auto" w:fill="00B0F0"/>
          </w:tcPr>
          <w:p w:rsidR="00DB7109" w:rsidRPr="00511306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All stakeholders aware of afla</w:t>
            </w:r>
            <w:r w:rsidR="0056560E">
              <w:rPr>
                <w:rFonts w:ascii="Palatino Linotype" w:eastAsia="Times New Roman" w:hAnsi="Palatino Linotype"/>
                <w:color w:val="000000"/>
              </w:rPr>
              <w:t>toxins and their effects by 2025</w:t>
            </w:r>
          </w:p>
        </w:tc>
        <w:tc>
          <w:tcPr>
            <w:tcW w:w="2052" w:type="dxa"/>
            <w:shd w:val="clear" w:color="auto" w:fill="00B0F0"/>
          </w:tcPr>
          <w:p w:rsidR="00DB7109" w:rsidRPr="00511306" w:rsidRDefault="00F076B3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 w:rsidRPr="00D02C43">
              <w:rPr>
                <w:rFonts w:ascii="Palatino Linotype" w:eastAsia="Times New Roman" w:hAnsi="Palatino Linotype"/>
                <w:color w:val="000000"/>
              </w:rPr>
              <w:t>Mo</w:t>
            </w:r>
            <w:r w:rsidR="00DB7109" w:rsidRPr="00D02C43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</w:p>
        </w:tc>
        <w:tc>
          <w:tcPr>
            <w:tcW w:w="1557" w:type="dxa"/>
            <w:gridSpan w:val="2"/>
            <w:shd w:val="clear" w:color="auto" w:fill="00B0F0"/>
          </w:tcPr>
          <w:p w:rsidR="00DB7109" w:rsidRPr="00511306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00B0F0"/>
          </w:tcPr>
          <w:p w:rsidR="00DB7109" w:rsidRPr="00511306" w:rsidRDefault="00DB7109" w:rsidP="00526F8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00B0F0"/>
          </w:tcPr>
          <w:p w:rsidR="00DB7109" w:rsidRPr="00511306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  <w:vMerge w:val="restart"/>
          </w:tcPr>
          <w:p w:rsidR="00DB7109" w:rsidRDefault="00DB7109" w:rsidP="00526F82"/>
        </w:tc>
      </w:tr>
      <w:tr w:rsidR="00DB7109" w:rsidTr="00445CD3">
        <w:tc>
          <w:tcPr>
            <w:tcW w:w="828" w:type="dxa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2.1</w:t>
            </w:r>
          </w:p>
        </w:tc>
        <w:tc>
          <w:tcPr>
            <w:tcW w:w="2070" w:type="dxa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Output 2.1 Harmonized dissemination of aflatoxin information </w:t>
            </w:r>
          </w:p>
        </w:tc>
        <w:tc>
          <w:tcPr>
            <w:tcW w:w="1800" w:type="dxa"/>
            <w:shd w:val="clear" w:color="auto" w:fill="F79646" w:themeFill="accent6"/>
          </w:tcPr>
          <w:p w:rsidR="00DB7109" w:rsidRPr="00527178" w:rsidRDefault="0056560E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All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t xml:space="preserve"> stakeholders receiving the harmonized aflatoxi</w:t>
            </w:r>
            <w:r>
              <w:rPr>
                <w:rFonts w:ascii="Palatino Linotype" w:eastAsia="Times New Roman" w:hAnsi="Palatino Linotype"/>
                <w:color w:val="000000"/>
              </w:rPr>
              <w:t>n communication messages by 2025</w:t>
            </w:r>
          </w:p>
        </w:tc>
        <w:tc>
          <w:tcPr>
            <w:tcW w:w="2052" w:type="dxa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</w:p>
        </w:tc>
        <w:tc>
          <w:tcPr>
            <w:tcW w:w="1557" w:type="dxa"/>
            <w:gridSpan w:val="2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  <w:vMerge/>
          </w:tcPr>
          <w:p w:rsidR="00DB7109" w:rsidRDefault="00DB7109" w:rsidP="00526F82"/>
        </w:tc>
      </w:tr>
      <w:tr w:rsidR="00DB7109" w:rsidTr="00445CD3">
        <w:trPr>
          <w:trHeight w:val="2267"/>
        </w:trPr>
        <w:tc>
          <w:tcPr>
            <w:tcW w:w="828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2.1.1</w:t>
            </w:r>
          </w:p>
        </w:tc>
        <w:tc>
          <w:tcPr>
            <w:tcW w:w="2070" w:type="dxa"/>
          </w:tcPr>
          <w:p w:rsidR="00DB7109" w:rsidRPr="00527178" w:rsidDel="008F7506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Develop a comprehensive and harmonized</w:t>
            </w:r>
            <w:r w:rsidRPr="00527178">
              <w:rPr>
                <w:rStyle w:val="FootnoteReference"/>
                <w:rFonts w:ascii="Palatino Linotype" w:eastAsia="Times New Roman" w:hAnsi="Palatino Linotype"/>
                <w:color w:val="000000"/>
              </w:rPr>
              <w:footnoteReference w:id="2"/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national aflatoxin communication strategy </w:t>
            </w:r>
          </w:p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DB7109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Copy of the  harmonized aflatoxin communic</w:t>
            </w:r>
            <w:r w:rsidR="0056560E">
              <w:rPr>
                <w:rFonts w:ascii="Palatino Linotype" w:eastAsia="Times New Roman" w:hAnsi="Palatino Linotype"/>
                <w:color w:val="000000"/>
              </w:rPr>
              <w:t xml:space="preserve">ation strategy developed </w:t>
            </w:r>
            <w:r w:rsidR="00445CD3">
              <w:rPr>
                <w:rFonts w:ascii="Palatino Linotype" w:eastAsia="Times New Roman" w:hAnsi="Palatino Linotype"/>
                <w:color w:val="000000"/>
              </w:rPr>
              <w:t xml:space="preserve">by </w:t>
            </w:r>
            <w:r w:rsidR="0056560E">
              <w:rPr>
                <w:rFonts w:ascii="Palatino Linotype" w:eastAsia="Times New Roman" w:hAnsi="Palatino Linotype"/>
                <w:color w:val="000000"/>
              </w:rPr>
              <w:t>2018</w:t>
            </w:r>
          </w:p>
          <w:p w:rsidR="005B011F" w:rsidRDefault="005B011F" w:rsidP="0056560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5B011F" w:rsidRPr="00527178" w:rsidRDefault="005B011F" w:rsidP="0056560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52" w:type="dxa"/>
          </w:tcPr>
          <w:p w:rsidR="00DB7109" w:rsidRPr="00527178" w:rsidRDefault="00445CD3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</w:p>
        </w:tc>
        <w:tc>
          <w:tcPr>
            <w:tcW w:w="1557" w:type="dxa"/>
            <w:gridSpan w:val="2"/>
          </w:tcPr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Short</w:t>
            </w:r>
          </w:p>
        </w:tc>
        <w:tc>
          <w:tcPr>
            <w:tcW w:w="1604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40,000</w:t>
            </w:r>
          </w:p>
        </w:tc>
        <w:tc>
          <w:tcPr>
            <w:tcW w:w="1627" w:type="dxa"/>
            <w:gridSpan w:val="2"/>
          </w:tcPr>
          <w:p w:rsidR="00DB7109" w:rsidRPr="00527178" w:rsidRDefault="00445CD3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</w:p>
        </w:tc>
        <w:tc>
          <w:tcPr>
            <w:tcW w:w="2069" w:type="dxa"/>
            <w:vMerge/>
          </w:tcPr>
          <w:p w:rsidR="00DB7109" w:rsidRDefault="00DB7109" w:rsidP="00526F82"/>
        </w:tc>
      </w:tr>
      <w:tr w:rsidR="00DB7109" w:rsidTr="00445CD3">
        <w:tc>
          <w:tcPr>
            <w:tcW w:w="828" w:type="dxa"/>
            <w:shd w:val="clear" w:color="auto" w:fill="F79646" w:themeFill="accent6"/>
          </w:tcPr>
          <w:p w:rsidR="00DB7109" w:rsidRPr="00511306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2.2</w:t>
            </w:r>
          </w:p>
        </w:tc>
        <w:tc>
          <w:tcPr>
            <w:tcW w:w="2070" w:type="dxa"/>
            <w:shd w:val="clear" w:color="auto" w:fill="F79646" w:themeFill="accent6"/>
          </w:tcPr>
          <w:p w:rsidR="00DB7109" w:rsidRPr="00511306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 xml:space="preserve">Output 2.2 Increased awareness of aflatoxins by all stakeholders along the value chains </w:t>
            </w:r>
          </w:p>
        </w:tc>
        <w:tc>
          <w:tcPr>
            <w:tcW w:w="1800" w:type="dxa"/>
            <w:shd w:val="clear" w:color="auto" w:fill="F79646" w:themeFill="accent6"/>
          </w:tcPr>
          <w:p w:rsidR="00DB7109" w:rsidRPr="00511306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 xml:space="preserve"> All stakeholders in the value chains have increased awareness about aflatoxins by 2020</w:t>
            </w:r>
          </w:p>
        </w:tc>
        <w:tc>
          <w:tcPr>
            <w:tcW w:w="2052" w:type="dxa"/>
            <w:shd w:val="clear" w:color="auto" w:fill="F79646" w:themeFill="accent6"/>
          </w:tcPr>
          <w:p w:rsidR="00F076B3" w:rsidRDefault="00F076B3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</w:p>
          <w:p w:rsidR="00F076B3" w:rsidRDefault="00F076B3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MAAIF</w:t>
            </w:r>
          </w:p>
          <w:p w:rsidR="00DB7109" w:rsidRPr="00511306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MTIC</w:t>
            </w:r>
          </w:p>
        </w:tc>
        <w:tc>
          <w:tcPr>
            <w:tcW w:w="1557" w:type="dxa"/>
            <w:gridSpan w:val="2"/>
            <w:shd w:val="clear" w:color="auto" w:fill="F79646" w:themeFill="accent6"/>
          </w:tcPr>
          <w:p w:rsidR="00DB7109" w:rsidRPr="00511306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2069" w:type="dxa"/>
            <w:vMerge w:val="restart"/>
          </w:tcPr>
          <w:p w:rsidR="00DB7109" w:rsidRDefault="00DB7109" w:rsidP="00526F82"/>
        </w:tc>
      </w:tr>
      <w:tr w:rsidR="00DB7109" w:rsidTr="00445CD3">
        <w:tc>
          <w:tcPr>
            <w:tcW w:w="828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2.2.1</w:t>
            </w:r>
          </w:p>
        </w:tc>
        <w:tc>
          <w:tcPr>
            <w:tcW w:w="2070" w:type="dxa"/>
          </w:tcPr>
          <w:p w:rsidR="00DB7109" w:rsidRPr="00527178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Develop and disseminate aflatoxin management  </w:t>
            </w:r>
            <w:r w:rsidR="00E268DD" w:rsidRPr="00105822">
              <w:rPr>
                <w:rFonts w:ascii="Palatino Linotype" w:eastAsia="Times New Roman" w:hAnsi="Palatino Linotype"/>
              </w:rPr>
              <w:t xml:space="preserve">Information Education Communication - </w:t>
            </w:r>
            <w:r w:rsidRPr="00105822">
              <w:rPr>
                <w:rFonts w:ascii="Palatino Linotype" w:eastAsia="Times New Roman" w:hAnsi="Palatino Linotype"/>
              </w:rPr>
              <w:t>IEC materials</w:t>
            </w:r>
          </w:p>
        </w:tc>
        <w:tc>
          <w:tcPr>
            <w:tcW w:w="1800" w:type="dxa"/>
          </w:tcPr>
          <w:p w:rsidR="00DB7109" w:rsidRPr="00527178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Leaflets, posters, videos, booklets and featur</w:t>
            </w:r>
            <w:r w:rsidR="00445CD3">
              <w:rPr>
                <w:rFonts w:ascii="Palatino Linotype" w:eastAsia="Times New Roman" w:hAnsi="Palatino Linotype"/>
                <w:color w:val="000000"/>
              </w:rPr>
              <w:t xml:space="preserve">e stories prepared by 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 xml:space="preserve"> 2025</w:t>
            </w:r>
          </w:p>
        </w:tc>
        <w:tc>
          <w:tcPr>
            <w:tcW w:w="2052" w:type="dxa"/>
          </w:tcPr>
          <w:p w:rsidR="005B011F" w:rsidRDefault="00F076B3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</w:p>
          <w:p w:rsidR="0056560E" w:rsidRDefault="0056560E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MTIC</w:t>
            </w:r>
          </w:p>
          <w:p w:rsidR="00DB7109" w:rsidRPr="00527178" w:rsidRDefault="00DB7109" w:rsidP="00614E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MAAIF </w:t>
            </w:r>
          </w:p>
        </w:tc>
        <w:tc>
          <w:tcPr>
            <w:tcW w:w="1557" w:type="dxa"/>
            <w:gridSpan w:val="2"/>
          </w:tcPr>
          <w:p w:rsidR="00DB7109" w:rsidRPr="00527178" w:rsidRDefault="005B011F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167,000</w:t>
            </w:r>
          </w:p>
        </w:tc>
        <w:tc>
          <w:tcPr>
            <w:tcW w:w="1627" w:type="dxa"/>
            <w:gridSpan w:val="2"/>
          </w:tcPr>
          <w:p w:rsidR="00445CD3" w:rsidRDefault="00F076B3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445CD3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="00445CD3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445CD3" w:rsidRDefault="00445CD3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MTIC</w:t>
            </w:r>
          </w:p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, PACA,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 xml:space="preserve">Development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partners</w:t>
            </w:r>
          </w:p>
        </w:tc>
        <w:tc>
          <w:tcPr>
            <w:tcW w:w="2069" w:type="dxa"/>
            <w:vMerge/>
          </w:tcPr>
          <w:p w:rsidR="00DB7109" w:rsidRDefault="00DB7109" w:rsidP="00526F82"/>
        </w:tc>
      </w:tr>
      <w:tr w:rsidR="00DB7109" w:rsidTr="00445CD3">
        <w:tc>
          <w:tcPr>
            <w:tcW w:w="828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2.2.2</w:t>
            </w:r>
          </w:p>
        </w:tc>
        <w:tc>
          <w:tcPr>
            <w:tcW w:w="2070" w:type="dxa"/>
          </w:tcPr>
          <w:p w:rsidR="00DB7109" w:rsidRPr="00527178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Conduct massive awareness campaigns to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sensitize the public on the socio- economic, health and nutritional  effects of aflatoxins</w:t>
            </w:r>
          </w:p>
        </w:tc>
        <w:tc>
          <w:tcPr>
            <w:tcW w:w="1800" w:type="dxa"/>
          </w:tcPr>
          <w:p w:rsidR="00DB7109" w:rsidRPr="00527178" w:rsidRDefault="005B011F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lastRenderedPageBreak/>
              <w:t>At least 8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t xml:space="preserve">0% of the population aware of the </w:t>
            </w:r>
            <w:r w:rsidR="00DB7109"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effects of aflatoxi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ns  </w:t>
            </w:r>
            <w:r w:rsidR="00445CD3">
              <w:rPr>
                <w:rFonts w:ascii="Palatino Linotype" w:eastAsia="Times New Roman" w:hAnsi="Palatino Linotype"/>
                <w:color w:val="000000"/>
              </w:rPr>
              <w:t xml:space="preserve">by </w:t>
            </w:r>
            <w:r>
              <w:rPr>
                <w:rFonts w:ascii="Palatino Linotype" w:eastAsia="Times New Roman" w:hAnsi="Palatino Linotype"/>
                <w:color w:val="000000"/>
              </w:rPr>
              <w:t>2025</w:t>
            </w:r>
          </w:p>
        </w:tc>
        <w:tc>
          <w:tcPr>
            <w:tcW w:w="2052" w:type="dxa"/>
          </w:tcPr>
          <w:p w:rsidR="005B011F" w:rsidRDefault="00F076B3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lastRenderedPageBreak/>
              <w:t xml:space="preserve">Reports from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</w:p>
          <w:p w:rsidR="005B011F" w:rsidRDefault="005B011F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MTIC</w:t>
            </w:r>
          </w:p>
          <w:p w:rsidR="00DB7109" w:rsidRPr="00527178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 xml:space="preserve">MAAIF             </w:t>
            </w:r>
          </w:p>
        </w:tc>
        <w:tc>
          <w:tcPr>
            <w:tcW w:w="1557" w:type="dxa"/>
            <w:gridSpan w:val="2"/>
          </w:tcPr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Long</w:t>
            </w:r>
          </w:p>
        </w:tc>
        <w:tc>
          <w:tcPr>
            <w:tcW w:w="1604" w:type="dxa"/>
          </w:tcPr>
          <w:p w:rsidR="00DB7109" w:rsidRPr="00527178" w:rsidRDefault="00046B63" w:rsidP="00046B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110,000</w:t>
            </w:r>
          </w:p>
        </w:tc>
        <w:tc>
          <w:tcPr>
            <w:tcW w:w="1627" w:type="dxa"/>
            <w:gridSpan w:val="2"/>
          </w:tcPr>
          <w:p w:rsidR="00445CD3" w:rsidRDefault="00445CD3" w:rsidP="00445C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445CD3" w:rsidRDefault="00445CD3" w:rsidP="00445C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MTIC</w:t>
            </w:r>
          </w:p>
          <w:p w:rsidR="00DB7109" w:rsidRPr="00527178" w:rsidRDefault="00445CD3" w:rsidP="00445C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 xml:space="preserve">, 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lastRenderedPageBreak/>
              <w:t>PACA,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Development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partners</w:t>
            </w:r>
          </w:p>
        </w:tc>
        <w:tc>
          <w:tcPr>
            <w:tcW w:w="2069" w:type="dxa"/>
            <w:vMerge/>
          </w:tcPr>
          <w:p w:rsidR="00DB7109" w:rsidRDefault="00DB7109" w:rsidP="00526F82"/>
        </w:tc>
      </w:tr>
      <w:tr w:rsidR="005B011F" w:rsidTr="00445CD3">
        <w:tc>
          <w:tcPr>
            <w:tcW w:w="828" w:type="dxa"/>
          </w:tcPr>
          <w:p w:rsidR="005B011F" w:rsidRPr="00527178" w:rsidRDefault="005B011F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lastRenderedPageBreak/>
              <w:t>2.2.3</w:t>
            </w:r>
          </w:p>
        </w:tc>
        <w:tc>
          <w:tcPr>
            <w:tcW w:w="2070" w:type="dxa"/>
          </w:tcPr>
          <w:p w:rsidR="005B011F" w:rsidRPr="00527178" w:rsidRDefault="005B011F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Translation of aflatoxin IEC materials into local languages</w:t>
            </w:r>
          </w:p>
        </w:tc>
        <w:tc>
          <w:tcPr>
            <w:tcW w:w="1800" w:type="dxa"/>
          </w:tcPr>
          <w:p w:rsidR="005B011F" w:rsidRDefault="005B011F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Aflatoxin IEC materials translated into at least 10 commonly spoken languages by 2020</w:t>
            </w:r>
          </w:p>
        </w:tc>
        <w:tc>
          <w:tcPr>
            <w:tcW w:w="2052" w:type="dxa"/>
          </w:tcPr>
          <w:p w:rsidR="005B011F" w:rsidRDefault="005B011F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IEC material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 translated</w:t>
            </w:r>
          </w:p>
        </w:tc>
        <w:tc>
          <w:tcPr>
            <w:tcW w:w="1557" w:type="dxa"/>
            <w:gridSpan w:val="2"/>
          </w:tcPr>
          <w:p w:rsidR="005B011F" w:rsidRPr="00527178" w:rsidRDefault="005B011F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B011F" w:rsidRDefault="005B011F" w:rsidP="00046B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100,000</w:t>
            </w:r>
          </w:p>
        </w:tc>
        <w:tc>
          <w:tcPr>
            <w:tcW w:w="1627" w:type="dxa"/>
            <w:gridSpan w:val="2"/>
          </w:tcPr>
          <w:p w:rsidR="005B011F" w:rsidRDefault="005B011F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MAAIF</w:t>
            </w:r>
          </w:p>
        </w:tc>
        <w:tc>
          <w:tcPr>
            <w:tcW w:w="2069" w:type="dxa"/>
            <w:vMerge/>
          </w:tcPr>
          <w:p w:rsidR="005B011F" w:rsidRDefault="005B011F" w:rsidP="00526F82"/>
        </w:tc>
      </w:tr>
      <w:tr w:rsidR="00DB7109" w:rsidTr="00445CD3">
        <w:trPr>
          <w:trHeight w:val="1880"/>
        </w:trPr>
        <w:tc>
          <w:tcPr>
            <w:tcW w:w="828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2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>.2.4</w:t>
            </w:r>
          </w:p>
        </w:tc>
        <w:tc>
          <w:tcPr>
            <w:tcW w:w="2070" w:type="dxa"/>
          </w:tcPr>
          <w:p w:rsidR="00DB7109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Engagement of policy makers on socio-economic, health and nutritional effects of aflatoxins</w:t>
            </w:r>
          </w:p>
          <w:p w:rsidR="005701BC" w:rsidRDefault="005701BC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  <w:p w:rsidR="005701BC" w:rsidRDefault="005701BC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  <w:p w:rsidR="00DB7109" w:rsidRPr="00527178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DB7109" w:rsidRPr="00527178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At 80% of the policy makers aware of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 xml:space="preserve"> the effects of aflatoxins  2025</w:t>
            </w:r>
          </w:p>
        </w:tc>
        <w:tc>
          <w:tcPr>
            <w:tcW w:w="2052" w:type="dxa"/>
          </w:tcPr>
          <w:p w:rsidR="00DB7109" w:rsidRPr="00D02C43" w:rsidRDefault="00DB7109" w:rsidP="00BC6031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D02C43"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 w:rsidRPr="00D02C43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 w:rsidR="00BC6031" w:rsidRPr="00D02C43">
              <w:rPr>
                <w:rFonts w:ascii="Palatino Linotype" w:eastAsia="Times New Roman" w:hAnsi="Palatino Linotype"/>
                <w:color w:val="000000"/>
              </w:rPr>
              <w:t>, MAAIF</w:t>
            </w:r>
          </w:p>
        </w:tc>
        <w:tc>
          <w:tcPr>
            <w:tcW w:w="1557" w:type="dxa"/>
            <w:gridSpan w:val="2"/>
          </w:tcPr>
          <w:p w:rsidR="00DB7109" w:rsidRPr="00527178" w:rsidRDefault="00DB7109" w:rsidP="00526F8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</w:tcPr>
          <w:p w:rsidR="00DB7109" w:rsidRPr="00527178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50,000</w:t>
            </w:r>
          </w:p>
        </w:tc>
        <w:tc>
          <w:tcPr>
            <w:tcW w:w="1627" w:type="dxa"/>
            <w:gridSpan w:val="2"/>
          </w:tcPr>
          <w:p w:rsidR="00DB7109" w:rsidRPr="00D02C43" w:rsidRDefault="00DB7109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D02C43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BC6031" w:rsidRPr="00D02C43">
              <w:rPr>
                <w:rFonts w:ascii="Palatino Linotype" w:eastAsia="Times New Roman" w:hAnsi="Palatino Linotype"/>
                <w:color w:val="000000"/>
              </w:rPr>
              <w:t xml:space="preserve"> (Leads)</w:t>
            </w:r>
          </w:p>
          <w:p w:rsidR="00BC6031" w:rsidRPr="00527178" w:rsidRDefault="00BC6031" w:rsidP="00526F8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D02C43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</w:p>
        </w:tc>
        <w:tc>
          <w:tcPr>
            <w:tcW w:w="2069" w:type="dxa"/>
            <w:vMerge/>
          </w:tcPr>
          <w:p w:rsidR="00DB7109" w:rsidRDefault="00DB7109" w:rsidP="00526F82"/>
        </w:tc>
      </w:tr>
      <w:tr w:rsidR="00DB7109" w:rsidTr="0056560E">
        <w:tc>
          <w:tcPr>
            <w:tcW w:w="13607" w:type="dxa"/>
            <w:gridSpan w:val="10"/>
            <w:shd w:val="clear" w:color="auto" w:fill="00B050"/>
          </w:tcPr>
          <w:p w:rsidR="00DB7109" w:rsidRDefault="00DB7109" w:rsidP="00526F82">
            <w:r>
              <w:rPr>
                <w:rFonts w:ascii="Palatino Linotype" w:eastAsia="Times New Roman" w:hAnsi="Palatino Linotype"/>
                <w:b/>
                <w:color w:val="000000"/>
              </w:rPr>
              <w:t>Thematic Area 3</w:t>
            </w:r>
            <w:r w:rsidRPr="00527178">
              <w:rPr>
                <w:rFonts w:ascii="Palatino Linotype" w:eastAsia="Times New Roman" w:hAnsi="Palatino Linotype"/>
                <w:b/>
                <w:color w:val="000000"/>
              </w:rPr>
              <w:t>: Public health management</w:t>
            </w:r>
          </w:p>
        </w:tc>
      </w:tr>
      <w:tr w:rsidR="005701BC" w:rsidTr="007C5F1C">
        <w:trPr>
          <w:trHeight w:val="2060"/>
        </w:trPr>
        <w:tc>
          <w:tcPr>
            <w:tcW w:w="828" w:type="dxa"/>
            <w:shd w:val="clear" w:color="auto" w:fill="00B0F0"/>
          </w:tcPr>
          <w:p w:rsidR="005701BC" w:rsidRPr="00B41822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B41822">
              <w:rPr>
                <w:rFonts w:ascii="Palatino Linotype" w:eastAsia="Times New Roman" w:hAnsi="Palatino Linotype"/>
                <w:color w:val="000000"/>
              </w:rPr>
              <w:lastRenderedPageBreak/>
              <w:t>3</w:t>
            </w:r>
          </w:p>
        </w:tc>
        <w:tc>
          <w:tcPr>
            <w:tcW w:w="2070" w:type="dxa"/>
            <w:shd w:val="clear" w:color="auto" w:fill="00B0F0"/>
          </w:tcPr>
          <w:p w:rsidR="005701BC" w:rsidRPr="00511306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Outcome 3: Reduced impact of aflatoxin</w:t>
            </w:r>
            <w:r>
              <w:rPr>
                <w:rFonts w:ascii="Palatino Linotype" w:eastAsia="Times New Roman" w:hAnsi="Palatino Linotype"/>
                <w:color w:val="000000"/>
              </w:rPr>
              <w:t>s</w:t>
            </w:r>
            <w:r w:rsidRPr="00511306">
              <w:rPr>
                <w:rFonts w:ascii="Palatino Linotype" w:eastAsia="Times New Roman" w:hAnsi="Palatino Linotype"/>
                <w:color w:val="000000"/>
              </w:rPr>
              <w:t xml:space="preserve"> on human and animal health</w:t>
            </w:r>
          </w:p>
          <w:p w:rsidR="005701BC" w:rsidRPr="00511306" w:rsidRDefault="005701BC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  <w:shd w:val="clear" w:color="auto" w:fill="00B0F0"/>
          </w:tcPr>
          <w:p w:rsidR="005701BC" w:rsidRPr="00511306" w:rsidRDefault="005B011F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20</w:t>
            </w:r>
            <w:r w:rsidR="005701BC" w:rsidRPr="00511306">
              <w:rPr>
                <w:rFonts w:ascii="Palatino Linotype" w:eastAsia="Times New Roman" w:hAnsi="Palatino Linotype"/>
                <w:color w:val="000000"/>
              </w:rPr>
              <w:t>% reduction in the prevalence of afl</w:t>
            </w:r>
            <w:r>
              <w:rPr>
                <w:rFonts w:ascii="Palatino Linotype" w:eastAsia="Times New Roman" w:hAnsi="Palatino Linotype"/>
                <w:color w:val="000000"/>
              </w:rPr>
              <w:t>atoxin related illnesses by 2025</w:t>
            </w:r>
          </w:p>
        </w:tc>
        <w:tc>
          <w:tcPr>
            <w:tcW w:w="2250" w:type="dxa"/>
            <w:gridSpan w:val="2"/>
            <w:shd w:val="clear" w:color="auto" w:fill="00B0F0"/>
          </w:tcPr>
          <w:p w:rsidR="005701BC" w:rsidRPr="00511306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11306">
              <w:rPr>
                <w:rFonts w:ascii="Palatino Linotype" w:eastAsia="Times New Roman" w:hAnsi="Palatino Linotype"/>
                <w:color w:val="000000"/>
              </w:rPr>
              <w:t>Reports from MAAIF/</w:t>
            </w:r>
          </w:p>
          <w:p w:rsidR="005701BC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511306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511306">
              <w:rPr>
                <w:rFonts w:ascii="Palatino Linotype" w:eastAsia="Times New Roman" w:hAnsi="Palatino Linotype"/>
                <w:color w:val="000000"/>
              </w:rPr>
              <w:t>/MTIC and other partners</w:t>
            </w:r>
          </w:p>
          <w:p w:rsidR="005701BC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  <w:p w:rsidR="005701BC" w:rsidRPr="00511306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359" w:type="dxa"/>
            <w:shd w:val="clear" w:color="auto" w:fill="00B0F0"/>
          </w:tcPr>
          <w:p w:rsidR="005701BC" w:rsidRPr="005B011F" w:rsidRDefault="005B011F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B011F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00B0F0"/>
          </w:tcPr>
          <w:p w:rsidR="005701BC" w:rsidRPr="00527178" w:rsidRDefault="005701BC" w:rsidP="005701BC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00B0F0"/>
          </w:tcPr>
          <w:p w:rsidR="005701BC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2069" w:type="dxa"/>
            <w:vMerge w:val="restart"/>
          </w:tcPr>
          <w:p w:rsidR="005701BC" w:rsidRDefault="005701BC" w:rsidP="005701BC"/>
        </w:tc>
      </w:tr>
      <w:tr w:rsidR="005701BC" w:rsidTr="007C5F1C">
        <w:tc>
          <w:tcPr>
            <w:tcW w:w="828" w:type="dxa"/>
            <w:shd w:val="clear" w:color="auto" w:fill="F79646" w:themeFill="accent6"/>
          </w:tcPr>
          <w:p w:rsidR="005701BC" w:rsidRPr="00B41822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B41822">
              <w:rPr>
                <w:rFonts w:ascii="Palatino Linotype" w:eastAsia="Times New Roman" w:hAnsi="Palatino Linotype"/>
                <w:color w:val="000000"/>
              </w:rPr>
              <w:t>3.1</w:t>
            </w:r>
          </w:p>
        </w:tc>
        <w:tc>
          <w:tcPr>
            <w:tcW w:w="2070" w:type="dxa"/>
            <w:shd w:val="clear" w:color="auto" w:fill="F79646" w:themeFill="accent6"/>
          </w:tcPr>
          <w:p w:rsidR="005701BC" w:rsidRPr="00B41822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B41822">
              <w:rPr>
                <w:rFonts w:ascii="Palatino Linotype" w:eastAsia="Times New Roman" w:hAnsi="Palatino Linotype"/>
                <w:color w:val="000000"/>
              </w:rPr>
              <w:t xml:space="preserve">Output 3.1 Reduced consumption of aflatoxin contaminated  foods and feeds </w:t>
            </w:r>
          </w:p>
        </w:tc>
        <w:tc>
          <w:tcPr>
            <w:tcW w:w="1800" w:type="dxa"/>
            <w:shd w:val="clear" w:color="auto" w:fill="F79646" w:themeFill="accent6"/>
          </w:tcPr>
          <w:p w:rsidR="005701BC" w:rsidRPr="00B41822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B41822">
              <w:rPr>
                <w:rFonts w:ascii="Palatino Linotype" w:eastAsia="Times New Roman" w:hAnsi="Palatino Linotype"/>
                <w:color w:val="000000"/>
              </w:rPr>
              <w:t xml:space="preserve">At least 80% of the foods and feeds sold on Ugandan markets </w:t>
            </w:r>
            <w:r w:rsidR="00A46E5C">
              <w:rPr>
                <w:rFonts w:ascii="Palatino Linotype" w:eastAsia="Times New Roman" w:hAnsi="Palatino Linotype"/>
                <w:color w:val="000000"/>
              </w:rPr>
              <w:t xml:space="preserve">and consumed in homes </w:t>
            </w:r>
            <w:r w:rsidRPr="00B41822">
              <w:rPr>
                <w:rFonts w:ascii="Palatino Linotype" w:eastAsia="Times New Roman" w:hAnsi="Palatino Linotype"/>
                <w:color w:val="000000"/>
              </w:rPr>
              <w:t>conform</w:t>
            </w:r>
            <w:r w:rsidR="005B011F">
              <w:rPr>
                <w:rFonts w:ascii="Palatino Linotype" w:eastAsia="Times New Roman" w:hAnsi="Palatino Linotype"/>
                <w:color w:val="000000"/>
              </w:rPr>
              <w:t xml:space="preserve"> to aflatoxin standards by  2025</w:t>
            </w:r>
          </w:p>
        </w:tc>
        <w:tc>
          <w:tcPr>
            <w:tcW w:w="2250" w:type="dxa"/>
            <w:gridSpan w:val="2"/>
            <w:shd w:val="clear" w:color="auto" w:fill="F79646" w:themeFill="accent6"/>
          </w:tcPr>
          <w:p w:rsidR="005701BC" w:rsidRPr="00B41822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Reports from  MAAIF/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B41822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B41822">
              <w:rPr>
                <w:rFonts w:ascii="Palatino Linotype" w:eastAsia="Times New Roman" w:hAnsi="Palatino Linotype"/>
                <w:color w:val="000000"/>
              </w:rPr>
              <w:t>/MTIC and other partners</w:t>
            </w:r>
          </w:p>
        </w:tc>
        <w:tc>
          <w:tcPr>
            <w:tcW w:w="1359" w:type="dxa"/>
            <w:shd w:val="clear" w:color="auto" w:fill="F79646" w:themeFill="accent6"/>
          </w:tcPr>
          <w:p w:rsidR="005701BC" w:rsidRPr="00B41822" w:rsidRDefault="005701BC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B41822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  <w:shd w:val="clear" w:color="auto" w:fill="F79646" w:themeFill="accent6"/>
          </w:tcPr>
          <w:p w:rsidR="005701BC" w:rsidRPr="00B41822" w:rsidRDefault="005701BC" w:rsidP="005701BC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5701BC" w:rsidRPr="00B41822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  <w:vMerge/>
          </w:tcPr>
          <w:p w:rsidR="005701BC" w:rsidRDefault="005701BC" w:rsidP="005701BC"/>
        </w:tc>
      </w:tr>
      <w:tr w:rsidR="005701BC" w:rsidTr="007C5F1C">
        <w:tc>
          <w:tcPr>
            <w:tcW w:w="828" w:type="dxa"/>
          </w:tcPr>
          <w:p w:rsidR="005701BC" w:rsidRPr="00A5088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A50888">
              <w:rPr>
                <w:rFonts w:ascii="Palatino Linotype" w:eastAsia="Times New Roman" w:hAnsi="Palatino Linotype"/>
                <w:color w:val="000000"/>
              </w:rPr>
              <w:t>3.1.1</w:t>
            </w:r>
          </w:p>
        </w:tc>
        <w:tc>
          <w:tcPr>
            <w:tcW w:w="2070" w:type="dxa"/>
          </w:tcPr>
          <w:p w:rsidR="005701BC" w:rsidRPr="00527178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Identify the aflatoxin </w:t>
            </w:r>
            <w:r w:rsidRPr="007C5F1C">
              <w:rPr>
                <w:rFonts w:ascii="Palatino Linotype" w:eastAsia="Times New Roman" w:hAnsi="Palatino Linotype"/>
                <w:color w:val="000000"/>
                <w:highlight w:val="yellow"/>
              </w:rPr>
              <w:t>hotspots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and the major confounding factors</w:t>
            </w:r>
          </w:p>
          <w:p w:rsidR="005701BC" w:rsidRPr="00527178" w:rsidRDefault="005701BC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800" w:type="dxa"/>
          </w:tcPr>
          <w:p w:rsidR="005701BC" w:rsidRPr="00527178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Aflatoxin hotspots and major confounding factors identified in all regions growing aflatoxin suscepti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ble crops by 2020</w:t>
            </w:r>
          </w:p>
        </w:tc>
        <w:tc>
          <w:tcPr>
            <w:tcW w:w="2250" w:type="dxa"/>
            <w:gridSpan w:val="2"/>
          </w:tcPr>
          <w:p w:rsidR="005701BC" w:rsidRPr="00527178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Reports from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527178">
              <w:rPr>
                <w:rFonts w:ascii="Palatino Linotype" w:eastAsia="Times New Roman" w:hAnsi="Palatino Linotype"/>
                <w:color w:val="000000"/>
              </w:rPr>
              <w:t>/</w:t>
            </w:r>
            <w:r w:rsidR="007C5F1C">
              <w:rPr>
                <w:rFonts w:ascii="Palatino Linotype" w:eastAsia="Times New Roman" w:hAnsi="Palatino Linotype"/>
                <w:color w:val="000000"/>
              </w:rPr>
              <w:t>MAAIF/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MTIC</w:t>
            </w:r>
          </w:p>
        </w:tc>
        <w:tc>
          <w:tcPr>
            <w:tcW w:w="1359" w:type="dxa"/>
          </w:tcPr>
          <w:p w:rsidR="005701BC" w:rsidRPr="00527178" w:rsidRDefault="005701BC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Medium</w:t>
            </w: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  <w:p w:rsidR="005701BC" w:rsidRPr="00527178" w:rsidRDefault="005701BC" w:rsidP="005701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</w:p>
        </w:tc>
        <w:tc>
          <w:tcPr>
            <w:tcW w:w="1604" w:type="dxa"/>
          </w:tcPr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170,000</w:t>
            </w:r>
          </w:p>
        </w:tc>
        <w:tc>
          <w:tcPr>
            <w:tcW w:w="1627" w:type="dxa"/>
            <w:gridSpan w:val="2"/>
          </w:tcPr>
          <w:p w:rsidR="005701BC" w:rsidRPr="00527178" w:rsidRDefault="00F076B3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BA2035">
              <w:rPr>
                <w:rFonts w:ascii="Palatino Linotype" w:eastAsia="Times New Roman" w:hAnsi="Palatino Linotype"/>
                <w:color w:val="000000"/>
              </w:rPr>
              <w:t>s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  <w:p w:rsidR="005701BC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</w:t>
            </w:r>
            <w:r w:rsidR="00105822">
              <w:rPr>
                <w:rFonts w:ascii="Palatino Linotype" w:eastAsia="Times New Roman" w:hAnsi="Palatino Linotype"/>
                <w:color w:val="000000"/>
              </w:rPr>
              <w:t>,</w:t>
            </w:r>
          </w:p>
          <w:p w:rsidR="00105822" w:rsidRPr="00527178" w:rsidRDefault="00105822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PACA</w:t>
            </w: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</w:p>
        </w:tc>
        <w:tc>
          <w:tcPr>
            <w:tcW w:w="2069" w:type="dxa"/>
            <w:vMerge/>
          </w:tcPr>
          <w:p w:rsidR="005701BC" w:rsidRDefault="005701BC" w:rsidP="005701BC"/>
        </w:tc>
      </w:tr>
      <w:tr w:rsidR="005701BC" w:rsidTr="007C5F1C">
        <w:tc>
          <w:tcPr>
            <w:tcW w:w="828" w:type="dxa"/>
          </w:tcPr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3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.1.2</w:t>
            </w:r>
          </w:p>
        </w:tc>
        <w:tc>
          <w:tcPr>
            <w:tcW w:w="2070" w:type="dxa"/>
          </w:tcPr>
          <w:p w:rsidR="005701BC" w:rsidRPr="00527178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Strengthen the capacity in  aflatoxin 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exposure &amp; risk assessment</w:t>
            </w:r>
          </w:p>
          <w:p w:rsidR="005701BC" w:rsidRPr="00527178" w:rsidRDefault="005701BC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5701BC" w:rsidRPr="00527178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 xml:space="preserve">At least 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t>10</w:t>
            </w:r>
            <w:r w:rsidR="007812E9" w:rsidRPr="00527178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t xml:space="preserve">staff in key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institutions 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lastRenderedPageBreak/>
              <w:t xml:space="preserve">trained in aflatoxin exposure and risk assessment </w:t>
            </w:r>
            <w:r w:rsidR="007812E9" w:rsidRPr="00527178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b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 xml:space="preserve">y 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t>2020</w:t>
            </w:r>
          </w:p>
        </w:tc>
        <w:tc>
          <w:tcPr>
            <w:tcW w:w="2250" w:type="dxa"/>
            <w:gridSpan w:val="2"/>
          </w:tcPr>
          <w:p w:rsidR="005701BC" w:rsidRPr="00527178" w:rsidRDefault="005701BC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 xml:space="preserve">Reports from </w:t>
            </w: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and research institutions </w:t>
            </w:r>
          </w:p>
        </w:tc>
        <w:tc>
          <w:tcPr>
            <w:tcW w:w="1359" w:type="dxa"/>
          </w:tcPr>
          <w:p w:rsidR="005701BC" w:rsidRPr="00527178" w:rsidRDefault="007812E9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320,000</w:t>
            </w:r>
          </w:p>
        </w:tc>
        <w:tc>
          <w:tcPr>
            <w:tcW w:w="1627" w:type="dxa"/>
            <w:gridSpan w:val="2"/>
          </w:tcPr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t>, PACA</w:t>
            </w:r>
          </w:p>
        </w:tc>
        <w:tc>
          <w:tcPr>
            <w:tcW w:w="2069" w:type="dxa"/>
            <w:vMerge/>
          </w:tcPr>
          <w:p w:rsidR="005701BC" w:rsidRDefault="005701BC" w:rsidP="005701BC"/>
        </w:tc>
      </w:tr>
      <w:tr w:rsidR="005701BC" w:rsidTr="007C5F1C">
        <w:trPr>
          <w:trHeight w:val="1745"/>
        </w:trPr>
        <w:tc>
          <w:tcPr>
            <w:tcW w:w="828" w:type="dxa"/>
          </w:tcPr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3.1.3</w:t>
            </w:r>
          </w:p>
        </w:tc>
        <w:tc>
          <w:tcPr>
            <w:tcW w:w="2070" w:type="dxa"/>
          </w:tcPr>
          <w:p w:rsidR="005701BC" w:rsidRPr="00527178" w:rsidRDefault="007812E9" w:rsidP="007812E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Set up a laboratory with capacity to diagnose aflatoxin-related illnesses (Cancer, HBV etc.) </w:t>
            </w:r>
          </w:p>
        </w:tc>
        <w:tc>
          <w:tcPr>
            <w:tcW w:w="1800" w:type="dxa"/>
          </w:tcPr>
          <w:p w:rsidR="005701BC" w:rsidRPr="00527178" w:rsidRDefault="007812E9" w:rsidP="007812E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One laboratory set up by 2020 </w:t>
            </w:r>
          </w:p>
        </w:tc>
        <w:tc>
          <w:tcPr>
            <w:tcW w:w="2250" w:type="dxa"/>
            <w:gridSpan w:val="2"/>
          </w:tcPr>
          <w:p w:rsidR="005701BC" w:rsidRPr="00527178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527178">
              <w:rPr>
                <w:rFonts w:ascii="Palatino Linotype" w:eastAsia="Times New Roman" w:hAnsi="Palatino Linotype"/>
                <w:color w:val="000000"/>
              </w:rPr>
              <w:t xml:space="preserve"> reports</w:t>
            </w:r>
          </w:p>
        </w:tc>
        <w:tc>
          <w:tcPr>
            <w:tcW w:w="1359" w:type="dxa"/>
          </w:tcPr>
          <w:p w:rsidR="005701BC" w:rsidRPr="00527178" w:rsidRDefault="007812E9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5701BC" w:rsidRPr="00527178" w:rsidRDefault="005701BC" w:rsidP="009939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2,</w:t>
            </w:r>
            <w:r w:rsidR="0099394A">
              <w:rPr>
                <w:rFonts w:ascii="Palatino Linotype" w:eastAsia="Times New Roman" w:hAnsi="Palatino Linotype"/>
                <w:color w:val="000000"/>
              </w:rPr>
              <w:t>1</w:t>
            </w:r>
            <w:r w:rsidR="0099394A" w:rsidRPr="00527178">
              <w:rPr>
                <w:rFonts w:ascii="Palatino Linotype" w:eastAsia="Times New Roman" w:hAnsi="Palatino Linotype"/>
                <w:color w:val="000000"/>
              </w:rPr>
              <w:t>00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,000</w:t>
            </w:r>
          </w:p>
        </w:tc>
        <w:tc>
          <w:tcPr>
            <w:tcW w:w="1627" w:type="dxa"/>
            <w:gridSpan w:val="2"/>
          </w:tcPr>
          <w:p w:rsidR="005701BC" w:rsidRPr="00527178" w:rsidRDefault="00F076B3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="005701BC"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99394A">
              <w:rPr>
                <w:rFonts w:ascii="Palatino Linotype" w:eastAsia="Times New Roman" w:hAnsi="Palatino Linotype"/>
                <w:color w:val="000000"/>
              </w:rPr>
              <w:t>s</w:t>
            </w:r>
            <w:r w:rsidR="005701BC"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5701BC" w:rsidRPr="00527178" w:rsidRDefault="005701BC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  <w:r w:rsidR="007812E9">
              <w:rPr>
                <w:rFonts w:ascii="Palatino Linotype" w:eastAsia="Times New Roman" w:hAnsi="Palatino Linotype"/>
                <w:color w:val="000000"/>
              </w:rPr>
              <w:t>, PACA, Development partners</w:t>
            </w:r>
          </w:p>
        </w:tc>
        <w:tc>
          <w:tcPr>
            <w:tcW w:w="2069" w:type="dxa"/>
          </w:tcPr>
          <w:p w:rsidR="005701BC" w:rsidRDefault="005701BC" w:rsidP="005701BC"/>
        </w:tc>
      </w:tr>
      <w:tr w:rsidR="0099394A" w:rsidTr="007C5F1C">
        <w:trPr>
          <w:trHeight w:val="1475"/>
        </w:trPr>
        <w:tc>
          <w:tcPr>
            <w:tcW w:w="828" w:type="dxa"/>
          </w:tcPr>
          <w:p w:rsidR="0099394A" w:rsidRPr="00527178" w:rsidRDefault="0099394A" w:rsidP="005701B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3.1.4</w:t>
            </w:r>
          </w:p>
        </w:tc>
        <w:tc>
          <w:tcPr>
            <w:tcW w:w="2070" w:type="dxa"/>
          </w:tcPr>
          <w:p w:rsidR="0099394A" w:rsidRDefault="0099394A" w:rsidP="007812E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Train </w:t>
            </w: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>
              <w:rPr>
                <w:rFonts w:ascii="Palatino Linotype" w:eastAsia="Times New Roman" w:hAnsi="Palatino Linotype"/>
                <w:color w:val="000000"/>
              </w:rPr>
              <w:t xml:space="preserve"> staff in diagnosis of aflatoxin-related illnesses</w:t>
            </w:r>
          </w:p>
        </w:tc>
        <w:tc>
          <w:tcPr>
            <w:tcW w:w="1800" w:type="dxa"/>
          </w:tcPr>
          <w:p w:rsidR="0099394A" w:rsidRDefault="0099394A" w:rsidP="007812E9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At least 3 staff trained by 2020</w:t>
            </w:r>
          </w:p>
        </w:tc>
        <w:tc>
          <w:tcPr>
            <w:tcW w:w="2250" w:type="dxa"/>
            <w:gridSpan w:val="2"/>
          </w:tcPr>
          <w:p w:rsidR="0099394A" w:rsidRDefault="0099394A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>
              <w:rPr>
                <w:rFonts w:ascii="Palatino Linotype" w:eastAsia="Times New Roman" w:hAnsi="Palatino Linotype"/>
                <w:color w:val="000000"/>
              </w:rPr>
              <w:t xml:space="preserve"> reports</w:t>
            </w:r>
          </w:p>
        </w:tc>
        <w:tc>
          <w:tcPr>
            <w:tcW w:w="1359" w:type="dxa"/>
          </w:tcPr>
          <w:p w:rsidR="0099394A" w:rsidRPr="00527178" w:rsidDel="007812E9" w:rsidRDefault="0099394A" w:rsidP="005701BC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99394A" w:rsidRPr="00527178" w:rsidRDefault="0099394A" w:rsidP="00CD0530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100,000</w:t>
            </w:r>
          </w:p>
        </w:tc>
        <w:tc>
          <w:tcPr>
            <w:tcW w:w="1627" w:type="dxa"/>
            <w:gridSpan w:val="2"/>
          </w:tcPr>
          <w:p w:rsidR="0099394A" w:rsidRPr="00527178" w:rsidRDefault="0099394A" w:rsidP="009939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/>
                <w:color w:val="000000"/>
              </w:rPr>
              <w:t>Mo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99394A" w:rsidRDefault="0099394A" w:rsidP="0099394A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  <w:r>
              <w:rPr>
                <w:rFonts w:ascii="Palatino Linotype" w:eastAsia="Times New Roman" w:hAnsi="Palatino Linotype"/>
                <w:color w:val="000000"/>
              </w:rPr>
              <w:t>, PACA, Development partners</w:t>
            </w:r>
          </w:p>
        </w:tc>
        <w:tc>
          <w:tcPr>
            <w:tcW w:w="2069" w:type="dxa"/>
          </w:tcPr>
          <w:p w:rsidR="0099394A" w:rsidRDefault="0099394A" w:rsidP="005701BC"/>
        </w:tc>
      </w:tr>
      <w:tr w:rsidR="005701BC" w:rsidTr="00032B3C">
        <w:trPr>
          <w:trHeight w:val="413"/>
        </w:trPr>
        <w:tc>
          <w:tcPr>
            <w:tcW w:w="13607" w:type="dxa"/>
            <w:gridSpan w:val="10"/>
            <w:shd w:val="clear" w:color="auto" w:fill="00B050"/>
          </w:tcPr>
          <w:p w:rsidR="005701BC" w:rsidRDefault="0086483A" w:rsidP="005701BC">
            <w:r>
              <w:rPr>
                <w:rFonts w:ascii="Palatino Linotype" w:eastAsia="Times New Roman" w:hAnsi="Palatino Linotype"/>
                <w:b/>
                <w:color w:val="000000"/>
              </w:rPr>
              <w:t>Thematic Area 4</w:t>
            </w:r>
            <w:r w:rsidR="00F076B3" w:rsidRPr="00527178">
              <w:rPr>
                <w:rFonts w:ascii="Palatino Linotype" w:eastAsia="Times New Roman" w:hAnsi="Palatino Linotype"/>
                <w:b/>
                <w:color w:val="000000"/>
              </w:rPr>
              <w:t>: Policy and legislation</w:t>
            </w:r>
          </w:p>
        </w:tc>
      </w:tr>
      <w:tr w:rsidR="00F076B3" w:rsidTr="00032B3C">
        <w:tc>
          <w:tcPr>
            <w:tcW w:w="828" w:type="dxa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F076B3">
              <w:rPr>
                <w:rFonts w:ascii="Palatino Linotype" w:eastAsia="Times New Roman" w:hAnsi="Palatino Linotype"/>
                <w:color w:val="000000"/>
              </w:rPr>
              <w:t>4</w:t>
            </w:r>
          </w:p>
        </w:tc>
        <w:tc>
          <w:tcPr>
            <w:tcW w:w="2070" w:type="dxa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F076B3">
              <w:rPr>
                <w:rFonts w:ascii="Palatino Linotype" w:eastAsia="Times New Roman" w:hAnsi="Palatino Linotype"/>
                <w:color w:val="000000"/>
              </w:rPr>
              <w:t>Outcome 4: Improved compliance to aflatoxin regulations and standards</w:t>
            </w:r>
          </w:p>
          <w:p w:rsidR="00F076B3" w:rsidRP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  <w:shd w:val="clear" w:color="auto" w:fill="00B0F0"/>
          </w:tcPr>
          <w:p w:rsidR="00F076B3" w:rsidRPr="00F076B3" w:rsidRDefault="0086483A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At least 8</w:t>
            </w:r>
            <w:r w:rsidR="00F076B3" w:rsidRPr="00F076B3">
              <w:rPr>
                <w:rFonts w:ascii="Palatino Linotype" w:eastAsia="Times New Roman" w:hAnsi="Palatino Linotype"/>
                <w:color w:val="000000"/>
              </w:rPr>
              <w:t>0% of stakeholders adhering to aflatoxin r</w:t>
            </w:r>
            <w:r>
              <w:rPr>
                <w:rFonts w:ascii="Palatino Linotype" w:eastAsia="Times New Roman" w:hAnsi="Palatino Linotype"/>
                <w:color w:val="000000"/>
              </w:rPr>
              <w:t>egulations and standards by 2025</w:t>
            </w:r>
          </w:p>
          <w:p w:rsidR="00F076B3" w:rsidRP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52" w:type="dxa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MTIC</w:t>
            </w:r>
            <w:r w:rsidRPr="00F076B3">
              <w:rPr>
                <w:rFonts w:ascii="Palatino Linotype" w:eastAsia="Times New Roman" w:hAnsi="Palatino Linotype"/>
                <w:color w:val="000000"/>
              </w:rPr>
              <w:t>/UNBS reports</w:t>
            </w:r>
          </w:p>
        </w:tc>
        <w:tc>
          <w:tcPr>
            <w:tcW w:w="1557" w:type="dxa"/>
            <w:gridSpan w:val="2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F076B3">
              <w:rPr>
                <w:rFonts w:ascii="Palatino Linotype" w:eastAsia="Times New Roman" w:hAnsi="Palatino Linotype"/>
                <w:color w:val="000000"/>
              </w:rPr>
              <w:t xml:space="preserve">Long </w:t>
            </w:r>
          </w:p>
        </w:tc>
        <w:tc>
          <w:tcPr>
            <w:tcW w:w="1604" w:type="dxa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00B0F0"/>
          </w:tcPr>
          <w:p w:rsidR="00F076B3" w:rsidRPr="00F076B3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</w:tcPr>
          <w:p w:rsidR="00F076B3" w:rsidRDefault="00F076B3" w:rsidP="00F076B3"/>
        </w:tc>
      </w:tr>
      <w:tr w:rsidR="00F076B3" w:rsidTr="00032B3C">
        <w:tc>
          <w:tcPr>
            <w:tcW w:w="828" w:type="dxa"/>
            <w:shd w:val="clear" w:color="auto" w:fill="F79646" w:themeFill="accent6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4.1</w:t>
            </w:r>
          </w:p>
        </w:tc>
        <w:tc>
          <w:tcPr>
            <w:tcW w:w="2070" w:type="dxa"/>
            <w:shd w:val="clear" w:color="auto" w:fill="F79646" w:themeFill="accent6"/>
          </w:tcPr>
          <w:p w:rsidR="00F076B3" w:rsidRPr="00527178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Output 4.1 Food safety control systems strengthened</w:t>
            </w:r>
          </w:p>
        </w:tc>
        <w:tc>
          <w:tcPr>
            <w:tcW w:w="1800" w:type="dxa"/>
            <w:shd w:val="clear" w:color="auto" w:fill="F79646" w:themeFill="accent6"/>
          </w:tcPr>
          <w:p w:rsidR="00F076B3" w:rsidRPr="00527178" w:rsidRDefault="00F076B3" w:rsidP="007C5F1C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 food co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ntrol system established by 2020</w:t>
            </w:r>
          </w:p>
        </w:tc>
        <w:tc>
          <w:tcPr>
            <w:tcW w:w="2052" w:type="dxa"/>
            <w:shd w:val="clear" w:color="auto" w:fill="F79646" w:themeFill="accent6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7C5F1C">
              <w:rPr>
                <w:rFonts w:ascii="Palatino Linotype" w:eastAsia="Times New Roman" w:hAnsi="Palatino Linotype"/>
                <w:color w:val="000000"/>
                <w:highlight w:val="yellow"/>
              </w:rPr>
              <w:t>MoH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reports</w:t>
            </w:r>
          </w:p>
        </w:tc>
        <w:tc>
          <w:tcPr>
            <w:tcW w:w="1557" w:type="dxa"/>
            <w:gridSpan w:val="2"/>
            <w:shd w:val="clear" w:color="auto" w:fill="F79646" w:themeFill="accent6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  <w:shd w:val="clear" w:color="auto" w:fill="F79646" w:themeFill="accent6"/>
          </w:tcPr>
          <w:p w:rsidR="00F076B3" w:rsidRPr="00527178" w:rsidRDefault="00F076B3" w:rsidP="00F076B3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627" w:type="dxa"/>
            <w:gridSpan w:val="2"/>
            <w:shd w:val="clear" w:color="auto" w:fill="F79646" w:themeFill="accent6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</w:tcPr>
          <w:p w:rsidR="00F076B3" w:rsidRDefault="00F076B3" w:rsidP="00F076B3"/>
        </w:tc>
      </w:tr>
      <w:tr w:rsidR="00F076B3" w:rsidTr="00032B3C">
        <w:tc>
          <w:tcPr>
            <w:tcW w:w="828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4.1.1</w:t>
            </w:r>
          </w:p>
        </w:tc>
        <w:tc>
          <w:tcPr>
            <w:tcW w:w="2070" w:type="dxa"/>
          </w:tcPr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Fast track review of food safety related policies and  regulatory frameworks </w:t>
            </w:r>
          </w:p>
        </w:tc>
        <w:tc>
          <w:tcPr>
            <w:tcW w:w="1800" w:type="dxa"/>
          </w:tcPr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All the relevant food safety policies 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and regulations reviewed by 2020</w:t>
            </w:r>
          </w:p>
        </w:tc>
        <w:tc>
          <w:tcPr>
            <w:tcW w:w="2052" w:type="dxa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</w:p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reports</w:t>
            </w:r>
          </w:p>
        </w:tc>
        <w:tc>
          <w:tcPr>
            <w:tcW w:w="155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30,000</w:t>
            </w:r>
          </w:p>
        </w:tc>
        <w:tc>
          <w:tcPr>
            <w:tcW w:w="162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99394A">
              <w:rPr>
                <w:rFonts w:ascii="Palatino Linotype" w:eastAsia="Times New Roman" w:hAnsi="Palatino Linotype"/>
                <w:color w:val="000000"/>
              </w:rPr>
              <w:t>, Academia</w:t>
            </w:r>
          </w:p>
        </w:tc>
        <w:tc>
          <w:tcPr>
            <w:tcW w:w="2069" w:type="dxa"/>
          </w:tcPr>
          <w:p w:rsidR="00F076B3" w:rsidRDefault="00F076B3" w:rsidP="00F076B3"/>
        </w:tc>
      </w:tr>
      <w:tr w:rsidR="00F076B3" w:rsidTr="00032B3C">
        <w:tc>
          <w:tcPr>
            <w:tcW w:w="828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4.1.2</w:t>
            </w:r>
          </w:p>
        </w:tc>
        <w:tc>
          <w:tcPr>
            <w:tcW w:w="2070" w:type="dxa"/>
          </w:tcPr>
          <w:p w:rsidR="00F076B3" w:rsidRPr="00527178" w:rsidRDefault="0099394A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Train district authorities in </w:t>
            </w:r>
            <w:r w:rsidR="00F076B3" w:rsidRPr="00527178">
              <w:rPr>
                <w:rFonts w:ascii="Palatino Linotype" w:eastAsia="Times New Roman" w:hAnsi="Palatino Linotype"/>
                <w:color w:val="000000"/>
              </w:rPr>
              <w:t xml:space="preserve">monitoring and enforcement of aflatoxin standards </w:t>
            </w:r>
          </w:p>
        </w:tc>
        <w:tc>
          <w:tcPr>
            <w:tcW w:w="1800" w:type="dxa"/>
          </w:tcPr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At 80% of the district</w:t>
            </w:r>
            <w:r w:rsidR="0099394A">
              <w:rPr>
                <w:rFonts w:ascii="Palatino Linotype" w:eastAsia="Times New Roman" w:hAnsi="Palatino Linotype"/>
                <w:color w:val="000000"/>
              </w:rPr>
              <w:t xml:space="preserve"> staff trained in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monitoring and enfor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cing aflatoxin standards by 2025</w:t>
            </w:r>
          </w:p>
        </w:tc>
        <w:tc>
          <w:tcPr>
            <w:tcW w:w="2052" w:type="dxa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MTIC/MAAIF reports</w:t>
            </w:r>
          </w:p>
        </w:tc>
        <w:tc>
          <w:tcPr>
            <w:tcW w:w="155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600,000</w:t>
            </w:r>
          </w:p>
        </w:tc>
        <w:tc>
          <w:tcPr>
            <w:tcW w:w="162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</w:tc>
        <w:tc>
          <w:tcPr>
            <w:tcW w:w="2069" w:type="dxa"/>
          </w:tcPr>
          <w:p w:rsidR="00F076B3" w:rsidRDefault="00F076B3" w:rsidP="00F076B3"/>
        </w:tc>
      </w:tr>
      <w:tr w:rsidR="00F076B3" w:rsidTr="00032B3C">
        <w:tc>
          <w:tcPr>
            <w:tcW w:w="828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4.1.3</w:t>
            </w:r>
          </w:p>
        </w:tc>
        <w:tc>
          <w:tcPr>
            <w:tcW w:w="2070" w:type="dxa"/>
          </w:tcPr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Deve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lop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 codes of practice and simple to use tools</w:t>
            </w:r>
            <w:r w:rsidR="00107DE6">
              <w:rPr>
                <w:rFonts w:ascii="Palatino Linotype" w:eastAsia="Times New Roman" w:hAnsi="Palatino Linotype"/>
                <w:color w:val="000000"/>
              </w:rPr>
              <w:t xml:space="preserve"> in management of aflatoxins</w:t>
            </w:r>
          </w:p>
        </w:tc>
        <w:tc>
          <w:tcPr>
            <w:tcW w:w="1800" w:type="dxa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Copies of the c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>odes and tools developed by 2020</w:t>
            </w:r>
          </w:p>
        </w:tc>
        <w:tc>
          <w:tcPr>
            <w:tcW w:w="2052" w:type="dxa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 reports</w:t>
            </w:r>
          </w:p>
        </w:tc>
        <w:tc>
          <w:tcPr>
            <w:tcW w:w="155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30,000</w:t>
            </w:r>
          </w:p>
        </w:tc>
        <w:tc>
          <w:tcPr>
            <w:tcW w:w="162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(Lead)</w:t>
            </w:r>
          </w:p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</w:tc>
        <w:tc>
          <w:tcPr>
            <w:tcW w:w="2069" w:type="dxa"/>
          </w:tcPr>
          <w:p w:rsidR="00F076B3" w:rsidRDefault="00F076B3" w:rsidP="00F076B3"/>
        </w:tc>
      </w:tr>
      <w:tr w:rsidR="00F076B3" w:rsidTr="00032B3C">
        <w:tc>
          <w:tcPr>
            <w:tcW w:w="828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4.1.4</w:t>
            </w:r>
          </w:p>
        </w:tc>
        <w:tc>
          <w:tcPr>
            <w:tcW w:w="2070" w:type="dxa"/>
          </w:tcPr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Translate the regulatory tools (popular versions) into local languages</w:t>
            </w:r>
          </w:p>
          <w:p w:rsidR="00F076B3" w:rsidRPr="00527178" w:rsidRDefault="00F076B3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  <w:p w:rsid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3B69C6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3B69C6" w:rsidRPr="00527178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F076B3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All regulatory tools translated into at least 10 local languages by 2020</w:t>
            </w:r>
          </w:p>
          <w:p w:rsidR="003B69C6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3B69C6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  <w:p w:rsidR="003B69C6" w:rsidRPr="00527178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52" w:type="dxa"/>
          </w:tcPr>
          <w:p w:rsidR="00F076B3" w:rsidRPr="00527178" w:rsidRDefault="00F076B3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reports</w:t>
            </w:r>
          </w:p>
        </w:tc>
        <w:tc>
          <w:tcPr>
            <w:tcW w:w="1557" w:type="dxa"/>
            <w:gridSpan w:val="2"/>
          </w:tcPr>
          <w:p w:rsidR="00F076B3" w:rsidRPr="00527178" w:rsidRDefault="0086483A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Medium</w:t>
            </w:r>
          </w:p>
        </w:tc>
        <w:tc>
          <w:tcPr>
            <w:tcW w:w="1604" w:type="dxa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25,000</w:t>
            </w:r>
          </w:p>
        </w:tc>
        <w:tc>
          <w:tcPr>
            <w:tcW w:w="1627" w:type="dxa"/>
            <w:gridSpan w:val="2"/>
          </w:tcPr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MTIC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F076B3" w:rsidRPr="00527178" w:rsidRDefault="00F076B3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</w:tc>
        <w:tc>
          <w:tcPr>
            <w:tcW w:w="2069" w:type="dxa"/>
          </w:tcPr>
          <w:p w:rsidR="00F076B3" w:rsidRDefault="00F076B3" w:rsidP="00F076B3"/>
        </w:tc>
      </w:tr>
      <w:tr w:rsidR="003B69C6" w:rsidTr="00032B3C">
        <w:tc>
          <w:tcPr>
            <w:tcW w:w="828" w:type="dxa"/>
          </w:tcPr>
          <w:p w:rsidR="003B69C6" w:rsidRPr="00527178" w:rsidRDefault="003B69C6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4.1.5</w:t>
            </w:r>
          </w:p>
        </w:tc>
        <w:tc>
          <w:tcPr>
            <w:tcW w:w="2070" w:type="dxa"/>
          </w:tcPr>
          <w:p w:rsidR="003B69C6" w:rsidRPr="00527178" w:rsidRDefault="003B69C6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Put in place a multi-sectoral and multi-disciplinary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technical committee to take lead on policy issues related to aflatoxins and enhance coordination amongst the different institutions involved in management of aflatoxins</w:t>
            </w:r>
          </w:p>
        </w:tc>
        <w:tc>
          <w:tcPr>
            <w:tcW w:w="1800" w:type="dxa"/>
          </w:tcPr>
          <w:p w:rsidR="003B69C6" w:rsidRPr="00527178" w:rsidRDefault="003B69C6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A functional  a multi-sectoral and multi-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disciplinary tech</w:t>
            </w:r>
            <w:r w:rsidR="0086483A">
              <w:rPr>
                <w:rFonts w:ascii="Palatino Linotype" w:eastAsia="Times New Roman" w:hAnsi="Palatino Linotype"/>
                <w:color w:val="000000"/>
              </w:rPr>
              <w:t xml:space="preserve">nical committee in place by </w:t>
            </w:r>
            <w:r w:rsidR="00107DE6">
              <w:rPr>
                <w:rFonts w:ascii="Palatino Linotype" w:eastAsia="Times New Roman" w:hAnsi="Palatino Linotype"/>
                <w:color w:val="000000"/>
              </w:rPr>
              <w:t>2016</w:t>
            </w:r>
          </w:p>
        </w:tc>
        <w:tc>
          <w:tcPr>
            <w:tcW w:w="2052" w:type="dxa"/>
          </w:tcPr>
          <w:p w:rsidR="003B69C6" w:rsidRPr="00527178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MoH</w:t>
            </w:r>
            <w:proofErr w:type="spellEnd"/>
          </w:p>
        </w:tc>
        <w:tc>
          <w:tcPr>
            <w:tcW w:w="1557" w:type="dxa"/>
            <w:gridSpan w:val="2"/>
          </w:tcPr>
          <w:p w:rsidR="003B69C6" w:rsidRPr="00527178" w:rsidRDefault="003B69C6" w:rsidP="00F076B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Short</w:t>
            </w:r>
          </w:p>
        </w:tc>
        <w:tc>
          <w:tcPr>
            <w:tcW w:w="1604" w:type="dxa"/>
          </w:tcPr>
          <w:p w:rsidR="003B69C6" w:rsidRPr="00527178" w:rsidRDefault="003B69C6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25,000</w:t>
            </w:r>
          </w:p>
        </w:tc>
        <w:tc>
          <w:tcPr>
            <w:tcW w:w="1627" w:type="dxa"/>
            <w:gridSpan w:val="2"/>
          </w:tcPr>
          <w:p w:rsidR="003B69C6" w:rsidRDefault="003B69C6" w:rsidP="00F076B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</w:p>
          <w:p w:rsidR="007B57BC" w:rsidRPr="00107DE6" w:rsidRDefault="007B57BC" w:rsidP="00F076B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107DE6">
              <w:rPr>
                <w:rFonts w:ascii="Palatino Linotype" w:eastAsia="Times New Roman" w:hAnsi="Palatino Linotype"/>
              </w:rPr>
              <w:t>PACA</w:t>
            </w:r>
          </w:p>
        </w:tc>
        <w:tc>
          <w:tcPr>
            <w:tcW w:w="2069" w:type="dxa"/>
            <w:vMerge w:val="restart"/>
          </w:tcPr>
          <w:p w:rsidR="003B69C6" w:rsidRDefault="003B69C6" w:rsidP="00F076B3"/>
        </w:tc>
      </w:tr>
      <w:tr w:rsidR="003B69C6" w:rsidTr="00032B3C">
        <w:tc>
          <w:tcPr>
            <w:tcW w:w="828" w:type="dxa"/>
          </w:tcPr>
          <w:p w:rsidR="003B69C6" w:rsidRPr="00527178" w:rsidRDefault="0086483A" w:rsidP="003B69C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lastRenderedPageBreak/>
              <w:t>4.1.6</w:t>
            </w:r>
          </w:p>
        </w:tc>
        <w:tc>
          <w:tcPr>
            <w:tcW w:w="2070" w:type="dxa"/>
          </w:tcPr>
          <w:p w:rsidR="003B69C6" w:rsidRPr="00527178" w:rsidRDefault="003B69C6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Integrate   aflatoxin</w:t>
            </w:r>
            <w:r w:rsidR="00CF59E8">
              <w:rPr>
                <w:rFonts w:ascii="Palatino Linotype" w:eastAsia="Times New Roman" w:hAnsi="Palatino Linotype"/>
                <w:color w:val="000000"/>
              </w:rPr>
              <w:t>-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related aspects in the education curricula at different levels of education </w:t>
            </w:r>
          </w:p>
          <w:p w:rsidR="003B69C6" w:rsidRPr="00527178" w:rsidRDefault="003B69C6" w:rsidP="003B69C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1800" w:type="dxa"/>
          </w:tcPr>
          <w:p w:rsidR="0086483A" w:rsidRPr="00527178" w:rsidRDefault="003B69C6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At least one science subject integrated with  aflatoxin related information at all levels of education by 2020</w:t>
            </w:r>
          </w:p>
        </w:tc>
        <w:tc>
          <w:tcPr>
            <w:tcW w:w="2052" w:type="dxa"/>
          </w:tcPr>
          <w:p w:rsidR="003B69C6" w:rsidRPr="00527178" w:rsidRDefault="003B69C6" w:rsidP="003B69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MoES</w:t>
            </w:r>
            <w:proofErr w:type="spellEnd"/>
          </w:p>
          <w:p w:rsidR="003B69C6" w:rsidRPr="00527178" w:rsidRDefault="007B57BC" w:rsidP="003B69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R</w:t>
            </w:r>
            <w:r w:rsidR="003B69C6" w:rsidRPr="00527178">
              <w:rPr>
                <w:rFonts w:ascii="Palatino Linotype" w:eastAsia="Times New Roman" w:hAnsi="Palatino Linotype"/>
                <w:color w:val="000000"/>
              </w:rPr>
              <w:t>eports</w:t>
            </w:r>
          </w:p>
        </w:tc>
        <w:tc>
          <w:tcPr>
            <w:tcW w:w="1557" w:type="dxa"/>
            <w:gridSpan w:val="2"/>
          </w:tcPr>
          <w:p w:rsidR="003B69C6" w:rsidRPr="00527178" w:rsidRDefault="003B69C6" w:rsidP="003B69C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Long</w:t>
            </w:r>
          </w:p>
        </w:tc>
        <w:tc>
          <w:tcPr>
            <w:tcW w:w="1604" w:type="dxa"/>
          </w:tcPr>
          <w:p w:rsidR="003B69C6" w:rsidRPr="00527178" w:rsidRDefault="003B69C6" w:rsidP="003B69C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50,000</w:t>
            </w:r>
          </w:p>
        </w:tc>
        <w:tc>
          <w:tcPr>
            <w:tcW w:w="1627" w:type="dxa"/>
            <w:gridSpan w:val="2"/>
          </w:tcPr>
          <w:p w:rsidR="003B69C6" w:rsidRPr="00527178" w:rsidRDefault="003B69C6" w:rsidP="003B69C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MoES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(Lead</w:t>
            </w:r>
            <w:r w:rsidR="00032B3C">
              <w:rPr>
                <w:rFonts w:ascii="Palatino Linotype" w:eastAsia="Times New Roman" w:hAnsi="Palatino Linotype"/>
                <w:color w:val="000000"/>
              </w:rPr>
              <w:t>s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>)</w:t>
            </w:r>
          </w:p>
          <w:p w:rsidR="003B69C6" w:rsidRPr="00527178" w:rsidRDefault="003B69C6" w:rsidP="003B69C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527178">
              <w:rPr>
                <w:rFonts w:ascii="Palatino Linotype" w:eastAsia="Times New Roman" w:hAnsi="Palatino Linotype"/>
                <w:color w:val="000000"/>
              </w:rPr>
              <w:t>MoH</w:t>
            </w:r>
            <w:proofErr w:type="spellEnd"/>
            <w:r w:rsidRPr="00527178">
              <w:rPr>
                <w:rFonts w:ascii="Palatino Linotype" w:eastAsia="Times New Roman" w:hAnsi="Palatino Linotype"/>
                <w:color w:val="000000"/>
              </w:rPr>
              <w:t>, MAAIF, MTIC,</w:t>
            </w:r>
          </w:p>
          <w:p w:rsidR="003B69C6" w:rsidRPr="00527178" w:rsidRDefault="003B69C6" w:rsidP="003B69C6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Academia</w:t>
            </w:r>
          </w:p>
        </w:tc>
        <w:tc>
          <w:tcPr>
            <w:tcW w:w="2069" w:type="dxa"/>
            <w:vMerge/>
          </w:tcPr>
          <w:p w:rsidR="003B69C6" w:rsidRDefault="003B69C6" w:rsidP="003B69C6"/>
        </w:tc>
      </w:tr>
      <w:tr w:rsidR="00640F62" w:rsidRPr="00640F62" w:rsidTr="00032B3C">
        <w:tc>
          <w:tcPr>
            <w:tcW w:w="828" w:type="dxa"/>
          </w:tcPr>
          <w:p w:rsidR="00640F62" w:rsidRPr="00640F62" w:rsidRDefault="00640F62" w:rsidP="003B69C6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  <w:r w:rsidRPr="00640F62">
              <w:rPr>
                <w:rFonts w:ascii="Palatino Linotype" w:eastAsia="Times New Roman" w:hAnsi="Palatino Linotype"/>
                <w:b/>
                <w:color w:val="000000"/>
              </w:rPr>
              <w:t>Total</w:t>
            </w:r>
          </w:p>
        </w:tc>
        <w:tc>
          <w:tcPr>
            <w:tcW w:w="2070" w:type="dxa"/>
          </w:tcPr>
          <w:p w:rsidR="00640F62" w:rsidRPr="00640F62" w:rsidRDefault="00640F62" w:rsidP="003B69C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800" w:type="dxa"/>
          </w:tcPr>
          <w:p w:rsidR="00640F62" w:rsidRPr="00640F62" w:rsidRDefault="00640F62" w:rsidP="00EA47FE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2052" w:type="dxa"/>
          </w:tcPr>
          <w:p w:rsidR="00640F62" w:rsidRPr="00640F62" w:rsidRDefault="00640F62" w:rsidP="003B69C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557" w:type="dxa"/>
            <w:gridSpan w:val="2"/>
          </w:tcPr>
          <w:p w:rsidR="00640F62" w:rsidRPr="00640F62" w:rsidRDefault="00640F62" w:rsidP="003B69C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604" w:type="dxa"/>
          </w:tcPr>
          <w:p w:rsidR="00640F62" w:rsidRPr="00640F62" w:rsidRDefault="00640F62" w:rsidP="003B69C6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  <w:r w:rsidRPr="00640F62">
              <w:rPr>
                <w:rFonts w:ascii="Palatino Linotype" w:eastAsia="Times New Roman" w:hAnsi="Palatino Linotype"/>
                <w:b/>
                <w:color w:val="000000"/>
              </w:rPr>
              <w:t>5,095,000</w:t>
            </w:r>
          </w:p>
        </w:tc>
        <w:tc>
          <w:tcPr>
            <w:tcW w:w="1627" w:type="dxa"/>
            <w:gridSpan w:val="2"/>
          </w:tcPr>
          <w:p w:rsidR="00640F62" w:rsidRPr="00640F62" w:rsidRDefault="00640F62" w:rsidP="003B69C6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2069" w:type="dxa"/>
          </w:tcPr>
          <w:p w:rsidR="00640F62" w:rsidRPr="00640F62" w:rsidRDefault="00640F62" w:rsidP="003B69C6">
            <w:pPr>
              <w:rPr>
                <w:b/>
              </w:rPr>
            </w:pPr>
          </w:p>
        </w:tc>
      </w:tr>
    </w:tbl>
    <w:p w:rsidR="00640F62" w:rsidRDefault="00640F62"/>
    <w:p w:rsidR="00640F62" w:rsidRDefault="00640F62">
      <w:pPr>
        <w:spacing w:after="0" w:line="240" w:lineRule="auto"/>
      </w:pPr>
      <w:r>
        <w:br w:type="page"/>
      </w:r>
    </w:p>
    <w:p w:rsidR="00526F82" w:rsidRPr="00425908" w:rsidRDefault="00640F62" w:rsidP="00425908">
      <w:pPr>
        <w:jc w:val="center"/>
        <w:rPr>
          <w:b/>
          <w:sz w:val="32"/>
          <w:szCs w:val="32"/>
        </w:rPr>
      </w:pPr>
      <w:r w:rsidRPr="00425908">
        <w:rPr>
          <w:b/>
          <w:sz w:val="32"/>
          <w:szCs w:val="32"/>
        </w:rPr>
        <w:lastRenderedPageBreak/>
        <w:t>MONITORING AND EVALUATION</w:t>
      </w:r>
    </w:p>
    <w:p w:rsidR="00640F62" w:rsidRPr="00640F62" w:rsidRDefault="00640F62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640F62">
        <w:rPr>
          <w:rFonts w:ascii="Palatino Linotype" w:eastAsia="Times New Roman" w:hAnsi="Palatino Linotype"/>
          <w:color w:val="000000"/>
          <w:sz w:val="24"/>
          <w:szCs w:val="24"/>
        </w:rPr>
        <w:t>Expected Outcome: Efficient implementation of the aflatoxin mitigation strategies</w:t>
      </w:r>
    </w:p>
    <w:p w:rsidR="00640F62" w:rsidRPr="00640F62" w:rsidRDefault="00640F62">
      <w:pPr>
        <w:rPr>
          <w:sz w:val="24"/>
          <w:szCs w:val="24"/>
        </w:rPr>
      </w:pPr>
      <w:r w:rsidRPr="00640F62">
        <w:rPr>
          <w:rFonts w:ascii="Palatino Linotype" w:eastAsia="Times New Roman" w:hAnsi="Palatino Linotype"/>
          <w:color w:val="000000"/>
          <w:sz w:val="24"/>
          <w:szCs w:val="24"/>
        </w:rPr>
        <w:t>Output: All proposed actions in the strategy monitored and evaluated</w:t>
      </w:r>
    </w:p>
    <w:tbl>
      <w:tblPr>
        <w:tblStyle w:val="TableGrid"/>
        <w:tblW w:w="13607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800"/>
        <w:gridCol w:w="2052"/>
        <w:gridCol w:w="1557"/>
        <w:gridCol w:w="1604"/>
        <w:gridCol w:w="1627"/>
        <w:gridCol w:w="2069"/>
      </w:tblGrid>
      <w:tr w:rsidR="00640F62" w:rsidTr="002426D3">
        <w:tc>
          <w:tcPr>
            <w:tcW w:w="13607" w:type="dxa"/>
            <w:gridSpan w:val="8"/>
            <w:shd w:val="clear" w:color="auto" w:fill="00B050"/>
          </w:tcPr>
          <w:p w:rsidR="00640F62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</w:rPr>
              <w:t>Monitoring and E</w:t>
            </w:r>
            <w:r w:rsidRPr="00527178">
              <w:rPr>
                <w:rFonts w:ascii="Palatino Linotype" w:eastAsia="Times New Roman" w:hAnsi="Palatino Linotype"/>
                <w:b/>
                <w:color w:val="000000"/>
              </w:rPr>
              <w:t>valuation</w:t>
            </w:r>
            <w:r>
              <w:rPr>
                <w:rFonts w:ascii="Palatino Linotype" w:eastAsia="Times New Roman" w:hAnsi="Palatino Linotype"/>
                <w:b/>
                <w:color w:val="000000"/>
              </w:rPr>
              <w:t xml:space="preserve"> Activities</w:t>
            </w:r>
          </w:p>
          <w:p w:rsidR="00640F62" w:rsidRDefault="00640F62" w:rsidP="002426D3">
            <w:pPr>
              <w:spacing w:after="0" w:line="240" w:lineRule="auto"/>
            </w:pPr>
          </w:p>
        </w:tc>
      </w:tr>
      <w:tr w:rsidR="00D263ED" w:rsidTr="002426D3">
        <w:tc>
          <w:tcPr>
            <w:tcW w:w="828" w:type="dxa"/>
          </w:tcPr>
          <w:p w:rsidR="00D263ED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SN</w:t>
            </w:r>
          </w:p>
        </w:tc>
        <w:tc>
          <w:tcPr>
            <w:tcW w:w="2070" w:type="dxa"/>
          </w:tcPr>
          <w:p w:rsidR="00D263ED" w:rsidRPr="00D263ED" w:rsidRDefault="00D263ED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  <w:r w:rsidRPr="00D263ED">
              <w:rPr>
                <w:rFonts w:ascii="Palatino Linotype" w:eastAsia="Times New Roman" w:hAnsi="Palatino Linotype"/>
                <w:b/>
                <w:color w:val="000000"/>
              </w:rPr>
              <w:t>Activity</w:t>
            </w:r>
          </w:p>
        </w:tc>
        <w:tc>
          <w:tcPr>
            <w:tcW w:w="1800" w:type="dxa"/>
          </w:tcPr>
          <w:p w:rsidR="00D263ED" w:rsidRDefault="00D263ED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 xml:space="preserve">Objectively Verifiable Indicator </w:t>
            </w:r>
          </w:p>
          <w:p w:rsidR="00D263ED" w:rsidRPr="00527178" w:rsidRDefault="00D263ED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000000"/>
              </w:rPr>
              <w:t>(</w:t>
            </w: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OVI)</w:t>
            </w:r>
          </w:p>
        </w:tc>
        <w:tc>
          <w:tcPr>
            <w:tcW w:w="2052" w:type="dxa"/>
          </w:tcPr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Means of Verification</w:t>
            </w: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br/>
              <w:t>(MOV)</w:t>
            </w:r>
          </w:p>
        </w:tc>
        <w:tc>
          <w:tcPr>
            <w:tcW w:w="1557" w:type="dxa"/>
          </w:tcPr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Term</w:t>
            </w:r>
          </w:p>
        </w:tc>
        <w:tc>
          <w:tcPr>
            <w:tcW w:w="1604" w:type="dxa"/>
          </w:tcPr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Estimated cost (USD)</w:t>
            </w:r>
          </w:p>
        </w:tc>
        <w:tc>
          <w:tcPr>
            <w:tcW w:w="1627" w:type="dxa"/>
          </w:tcPr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Responsible Ministry/</w:t>
            </w:r>
          </w:p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Institution)</w:t>
            </w:r>
          </w:p>
        </w:tc>
        <w:tc>
          <w:tcPr>
            <w:tcW w:w="2069" w:type="dxa"/>
          </w:tcPr>
          <w:p w:rsidR="00D263ED" w:rsidRPr="00527178" w:rsidRDefault="00D263ED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/>
                <w:bCs/>
                <w:color w:val="000000"/>
              </w:rPr>
              <w:t>Assumptions</w:t>
            </w:r>
            <w:r>
              <w:rPr>
                <w:rStyle w:val="FootnoteReference"/>
                <w:rFonts w:ascii="Palatino Linotype" w:eastAsia="Times New Roman" w:hAnsi="Palatino Linotype"/>
                <w:b/>
                <w:bCs/>
                <w:color w:val="000000"/>
              </w:rPr>
              <w:footnoteReference w:id="3"/>
            </w:r>
          </w:p>
        </w:tc>
      </w:tr>
      <w:tr w:rsidR="00640F62" w:rsidTr="002426D3">
        <w:tc>
          <w:tcPr>
            <w:tcW w:w="828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1</w:t>
            </w:r>
          </w:p>
        </w:tc>
        <w:tc>
          <w:tcPr>
            <w:tcW w:w="207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Conduct </w:t>
            </w:r>
            <w:r>
              <w:rPr>
                <w:rFonts w:ascii="Palatino Linotype" w:eastAsia="Times New Roman" w:hAnsi="Palatino Linotype"/>
                <w:color w:val="000000"/>
              </w:rPr>
              <w:t>b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aseline study to establish the status of implementation of aflatoxin management activities </w:t>
            </w:r>
          </w:p>
        </w:tc>
        <w:tc>
          <w:tcPr>
            <w:tcW w:w="180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Baseline report complete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d by 2017</w:t>
            </w:r>
          </w:p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52" w:type="dxa"/>
          </w:tcPr>
          <w:p w:rsidR="00640F62" w:rsidRPr="00527178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 w:rsidR="005B2291">
              <w:rPr>
                <w:rFonts w:ascii="Palatino Linotype" w:eastAsia="Times New Roman" w:hAnsi="Palatino Linotype"/>
                <w:color w:val="000000"/>
              </w:rPr>
              <w:t xml:space="preserve"> reports</w:t>
            </w:r>
          </w:p>
        </w:tc>
        <w:tc>
          <w:tcPr>
            <w:tcW w:w="1557" w:type="dxa"/>
          </w:tcPr>
          <w:p w:rsidR="00640F62" w:rsidRPr="00527178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Short</w:t>
            </w:r>
          </w:p>
        </w:tc>
        <w:tc>
          <w:tcPr>
            <w:tcW w:w="1604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70,000</w:t>
            </w:r>
          </w:p>
        </w:tc>
        <w:tc>
          <w:tcPr>
            <w:tcW w:w="1627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 (Leads)</w:t>
            </w:r>
            <w:r w:rsidR="00D263ED">
              <w:rPr>
                <w:rFonts w:ascii="Palatino Linotype" w:eastAsia="Times New Roman" w:hAnsi="Palatino Linotype"/>
                <w:color w:val="000000"/>
              </w:rPr>
              <w:t>,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 PACA</w:t>
            </w:r>
          </w:p>
        </w:tc>
        <w:tc>
          <w:tcPr>
            <w:tcW w:w="2069" w:type="dxa"/>
            <w:vMerge w:val="restart"/>
          </w:tcPr>
          <w:p w:rsidR="00D263ED" w:rsidRPr="00527178" w:rsidRDefault="00D263ED" w:rsidP="00D263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Timely availability of resources  from Government and development partners</w:t>
            </w:r>
          </w:p>
          <w:p w:rsidR="00D263ED" w:rsidRPr="00527178" w:rsidRDefault="00D263ED" w:rsidP="00D263ED">
            <w:pPr>
              <w:spacing w:after="0" w:line="240" w:lineRule="auto"/>
              <w:ind w:left="431" w:hanging="270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</w:p>
          <w:p w:rsidR="00D263ED" w:rsidRPr="00527178" w:rsidRDefault="00D263ED" w:rsidP="00D263ED">
            <w:pPr>
              <w:numPr>
                <w:ilvl w:val="0"/>
                <w:numId w:val="3"/>
              </w:numPr>
              <w:spacing w:after="0" w:line="240" w:lineRule="auto"/>
              <w:ind w:left="431"/>
              <w:jc w:val="both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Willingness of Key ministries to mainstream aflatoxin mitigation strategies into 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 xml:space="preserve">the sector </w:t>
            </w:r>
          </w:p>
          <w:p w:rsidR="00D263ED" w:rsidRPr="005821C5" w:rsidRDefault="00D263ED" w:rsidP="00D263ED">
            <w:pPr>
              <w:pStyle w:val="ListParagraph"/>
              <w:numPr>
                <w:ilvl w:val="0"/>
                <w:numId w:val="3"/>
              </w:numPr>
              <w:ind w:left="431"/>
            </w:pPr>
            <w:r w:rsidRPr="00526F82">
              <w:rPr>
                <w:rFonts w:ascii="Palatino Linotype" w:eastAsia="Times New Roman" w:hAnsi="Palatino Linotype"/>
                <w:bCs/>
                <w:color w:val="000000"/>
              </w:rPr>
              <w:t>Conducive political  environment</w:t>
            </w:r>
          </w:p>
          <w:p w:rsidR="00D263ED" w:rsidRPr="005821C5" w:rsidRDefault="00D263ED" w:rsidP="00D263ED">
            <w:pPr>
              <w:pStyle w:val="ListParagraph"/>
              <w:numPr>
                <w:ilvl w:val="0"/>
                <w:numId w:val="3"/>
              </w:numPr>
              <w:ind w:left="431" w:hanging="179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Local governments willingness to mainstream aflatoxins activities</w:t>
            </w:r>
          </w:p>
          <w:p w:rsidR="00D263ED" w:rsidRPr="0056560E" w:rsidRDefault="00D263ED" w:rsidP="00D263ED">
            <w:pPr>
              <w:pStyle w:val="ListParagraph"/>
              <w:numPr>
                <w:ilvl w:val="0"/>
                <w:numId w:val="3"/>
              </w:numPr>
              <w:ind w:left="431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Willingness of development partners to provide budgetary support</w:t>
            </w:r>
          </w:p>
          <w:p w:rsidR="00D263ED" w:rsidRPr="0056560E" w:rsidRDefault="00D263ED" w:rsidP="00D263ED">
            <w:pPr>
              <w:pStyle w:val="ListParagraph"/>
              <w:numPr>
                <w:ilvl w:val="0"/>
                <w:numId w:val="3"/>
              </w:numPr>
              <w:ind w:left="431" w:hanging="269"/>
            </w:pPr>
            <w:r>
              <w:rPr>
                <w:rFonts w:ascii="Palatino Linotype" w:eastAsia="Times New Roman" w:hAnsi="Palatino Linotype"/>
                <w:bCs/>
                <w:color w:val="000000"/>
              </w:rPr>
              <w:t>Availability and willingness of trained human resource</w:t>
            </w:r>
          </w:p>
          <w:p w:rsidR="00640F62" w:rsidRDefault="00D263ED" w:rsidP="00D263ED">
            <w:r>
              <w:rPr>
                <w:rFonts w:ascii="Palatino Linotype" w:eastAsia="Times New Roman" w:hAnsi="Palatino Linotype"/>
                <w:bCs/>
                <w:color w:val="000000"/>
              </w:rPr>
              <w:t>All stakeholders are willing to cooperate</w:t>
            </w:r>
          </w:p>
        </w:tc>
      </w:tr>
      <w:tr w:rsidR="00640F62" w:rsidTr="002426D3">
        <w:tc>
          <w:tcPr>
            <w:tcW w:w="828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2</w:t>
            </w:r>
          </w:p>
        </w:tc>
        <w:tc>
          <w:tcPr>
            <w:tcW w:w="207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Monitor the mainstreaming of aflatoxin mitigation strategies </w:t>
            </w:r>
            <w:r>
              <w:rPr>
                <w:rFonts w:ascii="Palatino Linotype" w:eastAsia="Times New Roman" w:hAnsi="Palatino Linotype"/>
                <w:color w:val="000000"/>
              </w:rPr>
              <w:t>in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to DSIP </w:t>
            </w:r>
          </w:p>
        </w:tc>
        <w:tc>
          <w:tcPr>
            <w:tcW w:w="180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bCs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>At least 90% of the suggested actions mainstreamed into DSIP by 2017</w:t>
            </w:r>
          </w:p>
        </w:tc>
        <w:tc>
          <w:tcPr>
            <w:tcW w:w="2052" w:type="dxa"/>
          </w:tcPr>
          <w:p w:rsidR="00640F62" w:rsidRPr="00527178" w:rsidRDefault="00425908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MAAIF/</w:t>
            </w:r>
            <w:r w:rsidR="00640F62" w:rsidRPr="00527178">
              <w:rPr>
                <w:rFonts w:ascii="Palatino Linotype" w:eastAsia="Times New Roman" w:hAnsi="Palatino Linotype"/>
                <w:color w:val="000000"/>
              </w:rPr>
              <w:t>PACA</w:t>
            </w:r>
            <w:r w:rsidR="00640F62">
              <w:rPr>
                <w:rFonts w:ascii="Palatino Linotype" w:eastAsia="Times New Roman" w:hAnsi="Palatino Linotype"/>
                <w:color w:val="000000"/>
              </w:rPr>
              <w:t xml:space="preserve"> reports</w:t>
            </w:r>
          </w:p>
        </w:tc>
        <w:tc>
          <w:tcPr>
            <w:tcW w:w="1557" w:type="dxa"/>
          </w:tcPr>
          <w:p w:rsidR="00640F62" w:rsidRPr="00527178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Short</w:t>
            </w:r>
          </w:p>
        </w:tc>
        <w:tc>
          <w:tcPr>
            <w:tcW w:w="1604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40,000</w:t>
            </w:r>
          </w:p>
        </w:tc>
        <w:tc>
          <w:tcPr>
            <w:tcW w:w="1627" w:type="dxa"/>
          </w:tcPr>
          <w:p w:rsidR="00640F62" w:rsidRPr="00527178" w:rsidDel="00643A37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MAAIF (Leads)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 PACA</w:t>
            </w:r>
            <w:r w:rsidR="00425908">
              <w:rPr>
                <w:rFonts w:ascii="Palatino Linotype" w:eastAsia="Times New Roman" w:hAnsi="Palatino Linotype"/>
                <w:color w:val="000000"/>
              </w:rPr>
              <w:t xml:space="preserve"> (S</w:t>
            </w:r>
            <w:r w:rsidR="005B2291">
              <w:rPr>
                <w:rFonts w:ascii="Palatino Linotype" w:eastAsia="Times New Roman" w:hAnsi="Palatino Linotype"/>
                <w:color w:val="000000"/>
              </w:rPr>
              <w:t>teering Committee and Country officer)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 </w:t>
            </w:r>
          </w:p>
        </w:tc>
        <w:tc>
          <w:tcPr>
            <w:tcW w:w="2069" w:type="dxa"/>
            <w:vMerge/>
          </w:tcPr>
          <w:p w:rsidR="00640F62" w:rsidRDefault="00640F62" w:rsidP="002426D3"/>
        </w:tc>
      </w:tr>
      <w:tr w:rsidR="00640F62" w:rsidTr="002426D3">
        <w:tc>
          <w:tcPr>
            <w:tcW w:w="828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3</w:t>
            </w:r>
          </w:p>
        </w:tc>
        <w:tc>
          <w:tcPr>
            <w:tcW w:w="207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 xml:space="preserve">Monitor the implementation of aflatoxin </w:t>
            </w: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mitigation strategies</w:t>
            </w:r>
          </w:p>
        </w:tc>
        <w:tc>
          <w:tcPr>
            <w:tcW w:w="1800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 xml:space="preserve">Mid and </w:t>
            </w:r>
            <w:r>
              <w:rPr>
                <w:rFonts w:ascii="Palatino Linotype" w:eastAsia="Times New Roman" w:hAnsi="Palatino Linotype"/>
                <w:bCs/>
                <w:color w:val="000000"/>
              </w:rPr>
              <w:t>End of term evaluation reports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t xml:space="preserve"> and </w:t>
            </w:r>
            <w:r w:rsidRPr="00527178">
              <w:rPr>
                <w:rFonts w:ascii="Palatino Linotype" w:eastAsia="Times New Roman" w:hAnsi="Palatino Linotype"/>
                <w:bCs/>
                <w:color w:val="000000"/>
              </w:rPr>
              <w:lastRenderedPageBreak/>
              <w:t>validations performed</w:t>
            </w:r>
          </w:p>
        </w:tc>
        <w:tc>
          <w:tcPr>
            <w:tcW w:w="2052" w:type="dxa"/>
          </w:tcPr>
          <w:p w:rsidR="00640F62" w:rsidRPr="00527178" w:rsidRDefault="00640F62" w:rsidP="00425908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MAAIF</w:t>
            </w:r>
            <w:r w:rsidR="005B2291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r>
              <w:rPr>
                <w:rFonts w:ascii="Palatino Linotype" w:eastAsia="Times New Roman" w:hAnsi="Palatino Linotype"/>
                <w:color w:val="000000"/>
              </w:rPr>
              <w:t>reports</w:t>
            </w:r>
            <w:r w:rsidR="005B2291">
              <w:rPr>
                <w:rFonts w:ascii="Palatino Linotype" w:eastAsia="Times New Roman" w:hAnsi="Palatino Linotype"/>
                <w:color w:val="000000"/>
              </w:rPr>
              <w:t xml:space="preserve"> and PACA Quarterly/Annual </w:t>
            </w:r>
            <w:r w:rsidR="005B2291">
              <w:rPr>
                <w:rFonts w:ascii="Palatino Linotype" w:eastAsia="Times New Roman" w:hAnsi="Palatino Linotype"/>
                <w:color w:val="000000"/>
              </w:rPr>
              <w:lastRenderedPageBreak/>
              <w:t>reports</w:t>
            </w:r>
          </w:p>
        </w:tc>
        <w:tc>
          <w:tcPr>
            <w:tcW w:w="1557" w:type="dxa"/>
          </w:tcPr>
          <w:p w:rsidR="00640F62" w:rsidRPr="00527178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lastRenderedPageBreak/>
              <w:t>Long</w:t>
            </w:r>
          </w:p>
        </w:tc>
        <w:tc>
          <w:tcPr>
            <w:tcW w:w="1604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140,000</w:t>
            </w:r>
          </w:p>
        </w:tc>
        <w:tc>
          <w:tcPr>
            <w:tcW w:w="1627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527178">
              <w:rPr>
                <w:rFonts w:ascii="Palatino Linotype" w:eastAsia="Times New Roman" w:hAnsi="Palatino Linotype"/>
                <w:color w:val="000000"/>
              </w:rPr>
              <w:t>MAAIF</w:t>
            </w:r>
          </w:p>
        </w:tc>
        <w:tc>
          <w:tcPr>
            <w:tcW w:w="2069" w:type="dxa"/>
            <w:vMerge/>
          </w:tcPr>
          <w:p w:rsidR="00640F62" w:rsidRDefault="00640F62" w:rsidP="002426D3"/>
        </w:tc>
      </w:tr>
      <w:tr w:rsidR="00640F62" w:rsidTr="002426D3">
        <w:tc>
          <w:tcPr>
            <w:tcW w:w="828" w:type="dxa"/>
          </w:tcPr>
          <w:p w:rsidR="00640F62" w:rsidRPr="00046B63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000000"/>
              </w:rPr>
            </w:pPr>
            <w:r w:rsidRPr="00046B63">
              <w:rPr>
                <w:rFonts w:ascii="Palatino Linotype" w:eastAsia="Times New Roman" w:hAnsi="Palatino Linotype"/>
                <w:b/>
                <w:color w:val="000000"/>
              </w:rPr>
              <w:lastRenderedPageBreak/>
              <w:t xml:space="preserve">Total </w:t>
            </w:r>
          </w:p>
        </w:tc>
        <w:tc>
          <w:tcPr>
            <w:tcW w:w="2070" w:type="dxa"/>
          </w:tcPr>
          <w:p w:rsidR="00640F62" w:rsidRPr="00046B63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800" w:type="dxa"/>
          </w:tcPr>
          <w:p w:rsidR="00640F62" w:rsidRPr="00046B63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2052" w:type="dxa"/>
          </w:tcPr>
          <w:p w:rsidR="00640F62" w:rsidRPr="00046B63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557" w:type="dxa"/>
          </w:tcPr>
          <w:p w:rsidR="00640F62" w:rsidRPr="00046B63" w:rsidRDefault="00640F62" w:rsidP="002426D3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000000"/>
              </w:rPr>
            </w:pPr>
          </w:p>
        </w:tc>
        <w:tc>
          <w:tcPr>
            <w:tcW w:w="1604" w:type="dxa"/>
          </w:tcPr>
          <w:p w:rsidR="00640F62" w:rsidRPr="00032B3C" w:rsidRDefault="00640F62" w:rsidP="002426D3">
            <w:pPr>
              <w:rPr>
                <w:rFonts w:ascii="Palatino Linotype" w:hAnsi="Palatino Linotype" w:cs="Calibri"/>
                <w:b/>
                <w:bCs/>
                <w:color w:val="00000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</w:rPr>
              <w:t>250,000</w:t>
            </w:r>
          </w:p>
        </w:tc>
        <w:tc>
          <w:tcPr>
            <w:tcW w:w="1627" w:type="dxa"/>
          </w:tcPr>
          <w:p w:rsidR="00640F62" w:rsidRPr="00527178" w:rsidRDefault="00640F62" w:rsidP="002426D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2069" w:type="dxa"/>
          </w:tcPr>
          <w:p w:rsidR="00640F62" w:rsidRDefault="00640F62" w:rsidP="002426D3"/>
        </w:tc>
      </w:tr>
    </w:tbl>
    <w:p w:rsidR="00640F62" w:rsidRDefault="00640F62" w:rsidP="00640F62"/>
    <w:p w:rsidR="00640F62" w:rsidRDefault="00640F62"/>
    <w:sectPr w:rsidR="00640F62" w:rsidSect="00526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23" w:rsidRDefault="00654223" w:rsidP="00526F82">
      <w:pPr>
        <w:spacing w:after="0" w:line="240" w:lineRule="auto"/>
      </w:pPr>
      <w:r>
        <w:separator/>
      </w:r>
    </w:p>
  </w:endnote>
  <w:endnote w:type="continuationSeparator" w:id="0">
    <w:p w:rsidR="00654223" w:rsidRDefault="00654223" w:rsidP="0052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23" w:rsidRDefault="00654223" w:rsidP="00526F82">
      <w:pPr>
        <w:spacing w:after="0" w:line="240" w:lineRule="auto"/>
      </w:pPr>
      <w:r>
        <w:separator/>
      </w:r>
    </w:p>
  </w:footnote>
  <w:footnote w:type="continuationSeparator" w:id="0">
    <w:p w:rsidR="00654223" w:rsidRDefault="00654223" w:rsidP="00526F82">
      <w:pPr>
        <w:spacing w:after="0" w:line="240" w:lineRule="auto"/>
      </w:pPr>
      <w:r>
        <w:continuationSeparator/>
      </w:r>
    </w:p>
  </w:footnote>
  <w:footnote w:id="1">
    <w:p w:rsidR="0099394A" w:rsidRDefault="0099394A">
      <w:pPr>
        <w:pStyle w:val="FootnoteText"/>
      </w:pPr>
      <w:r>
        <w:rPr>
          <w:rStyle w:val="FootnoteReference"/>
        </w:rPr>
        <w:footnoteRef/>
      </w:r>
      <w:r>
        <w:t xml:space="preserve"> The assumptions apply to all thematic areas</w:t>
      </w:r>
    </w:p>
  </w:footnote>
  <w:footnote w:id="2">
    <w:p w:rsidR="0099394A" w:rsidRDefault="0099394A">
      <w:pPr>
        <w:pStyle w:val="FootnoteText"/>
      </w:pPr>
      <w:r>
        <w:rPr>
          <w:rStyle w:val="FootnoteReference"/>
        </w:rPr>
        <w:footnoteRef/>
      </w:r>
      <w:r>
        <w:t xml:space="preserve"> Development of the aflatoxin communication strategy will take into consideration the </w:t>
      </w:r>
      <w:r w:rsidR="00CA17C6">
        <w:t xml:space="preserve">existing strategies for example </w:t>
      </w:r>
      <w:r>
        <w:t xml:space="preserve">East African </w:t>
      </w:r>
      <w:r w:rsidR="00CA17C6">
        <w:t>Community</w:t>
      </w:r>
      <w:r>
        <w:t xml:space="preserve"> aflatoxin communication strategy and the Uganda National Agricultural communication strategy</w:t>
      </w:r>
    </w:p>
  </w:footnote>
  <w:footnote w:id="3">
    <w:p w:rsidR="00D263ED" w:rsidRDefault="00D263ED">
      <w:pPr>
        <w:pStyle w:val="FootnoteText"/>
      </w:pPr>
      <w:r>
        <w:rPr>
          <w:rStyle w:val="FootnoteReference"/>
        </w:rPr>
        <w:footnoteRef/>
      </w:r>
      <w:r>
        <w:t xml:space="preserve"> The assumptions apply to all thematic areas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4C"/>
    <w:multiLevelType w:val="hybridMultilevel"/>
    <w:tmpl w:val="63E0134A"/>
    <w:lvl w:ilvl="0" w:tplc="73DAED0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6165"/>
    <w:multiLevelType w:val="hybridMultilevel"/>
    <w:tmpl w:val="472CC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775"/>
    <w:multiLevelType w:val="hybridMultilevel"/>
    <w:tmpl w:val="472CC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2"/>
    <w:rsid w:val="00004D9F"/>
    <w:rsid w:val="00032B3C"/>
    <w:rsid w:val="00040151"/>
    <w:rsid w:val="00046B63"/>
    <w:rsid w:val="000B7BE0"/>
    <w:rsid w:val="000C7304"/>
    <w:rsid w:val="000E233F"/>
    <w:rsid w:val="001044B7"/>
    <w:rsid w:val="00105822"/>
    <w:rsid w:val="00107DE6"/>
    <w:rsid w:val="001F461B"/>
    <w:rsid w:val="002478D4"/>
    <w:rsid w:val="002558AE"/>
    <w:rsid w:val="00287ED2"/>
    <w:rsid w:val="002909AF"/>
    <w:rsid w:val="002940E4"/>
    <w:rsid w:val="002A6A32"/>
    <w:rsid w:val="002E0B44"/>
    <w:rsid w:val="003129DA"/>
    <w:rsid w:val="00326678"/>
    <w:rsid w:val="0035559B"/>
    <w:rsid w:val="0036700A"/>
    <w:rsid w:val="00367ED2"/>
    <w:rsid w:val="003945CB"/>
    <w:rsid w:val="003B526B"/>
    <w:rsid w:val="003B69C6"/>
    <w:rsid w:val="003C126A"/>
    <w:rsid w:val="003C3284"/>
    <w:rsid w:val="003C39F2"/>
    <w:rsid w:val="003C583C"/>
    <w:rsid w:val="003D07F2"/>
    <w:rsid w:val="003D513F"/>
    <w:rsid w:val="003F2A0A"/>
    <w:rsid w:val="003F5673"/>
    <w:rsid w:val="00422AB0"/>
    <w:rsid w:val="00425908"/>
    <w:rsid w:val="00445CD3"/>
    <w:rsid w:val="00454B40"/>
    <w:rsid w:val="00461C50"/>
    <w:rsid w:val="004E48C3"/>
    <w:rsid w:val="004F18C6"/>
    <w:rsid w:val="004F75C2"/>
    <w:rsid w:val="00526F82"/>
    <w:rsid w:val="005403F5"/>
    <w:rsid w:val="00546F15"/>
    <w:rsid w:val="005520E6"/>
    <w:rsid w:val="00555877"/>
    <w:rsid w:val="0056560E"/>
    <w:rsid w:val="005701BC"/>
    <w:rsid w:val="005821C5"/>
    <w:rsid w:val="00591BBE"/>
    <w:rsid w:val="005B011F"/>
    <w:rsid w:val="005B2291"/>
    <w:rsid w:val="005D1D42"/>
    <w:rsid w:val="00614E4A"/>
    <w:rsid w:val="00626306"/>
    <w:rsid w:val="00640F62"/>
    <w:rsid w:val="00654223"/>
    <w:rsid w:val="00687FCE"/>
    <w:rsid w:val="006A31E0"/>
    <w:rsid w:val="006A4051"/>
    <w:rsid w:val="006B0325"/>
    <w:rsid w:val="006B574E"/>
    <w:rsid w:val="006D7E86"/>
    <w:rsid w:val="006E25F9"/>
    <w:rsid w:val="007812E9"/>
    <w:rsid w:val="0078515C"/>
    <w:rsid w:val="007B57BC"/>
    <w:rsid w:val="007B598F"/>
    <w:rsid w:val="007B79EB"/>
    <w:rsid w:val="007C5338"/>
    <w:rsid w:val="007C5F1C"/>
    <w:rsid w:val="007E7462"/>
    <w:rsid w:val="007F7462"/>
    <w:rsid w:val="008315CC"/>
    <w:rsid w:val="008634BA"/>
    <w:rsid w:val="0086483A"/>
    <w:rsid w:val="008652D3"/>
    <w:rsid w:val="0087106E"/>
    <w:rsid w:val="008E4393"/>
    <w:rsid w:val="008E4848"/>
    <w:rsid w:val="00903635"/>
    <w:rsid w:val="00930448"/>
    <w:rsid w:val="00952F8B"/>
    <w:rsid w:val="00975824"/>
    <w:rsid w:val="00982B3B"/>
    <w:rsid w:val="0099394A"/>
    <w:rsid w:val="009A1783"/>
    <w:rsid w:val="00A418A9"/>
    <w:rsid w:val="00A439C6"/>
    <w:rsid w:val="00A46E5C"/>
    <w:rsid w:val="00A77733"/>
    <w:rsid w:val="00AD0568"/>
    <w:rsid w:val="00AD5371"/>
    <w:rsid w:val="00B033A6"/>
    <w:rsid w:val="00B06EAB"/>
    <w:rsid w:val="00B06FBE"/>
    <w:rsid w:val="00B260EF"/>
    <w:rsid w:val="00BA2035"/>
    <w:rsid w:val="00BC6031"/>
    <w:rsid w:val="00BE4929"/>
    <w:rsid w:val="00BF6A08"/>
    <w:rsid w:val="00C302DC"/>
    <w:rsid w:val="00C4490A"/>
    <w:rsid w:val="00C67940"/>
    <w:rsid w:val="00C85679"/>
    <w:rsid w:val="00C8715F"/>
    <w:rsid w:val="00CA17C6"/>
    <w:rsid w:val="00CC21EC"/>
    <w:rsid w:val="00CD0530"/>
    <w:rsid w:val="00CD5A06"/>
    <w:rsid w:val="00CD70D0"/>
    <w:rsid w:val="00CF59E8"/>
    <w:rsid w:val="00D02C43"/>
    <w:rsid w:val="00D1155D"/>
    <w:rsid w:val="00D13C2F"/>
    <w:rsid w:val="00D17257"/>
    <w:rsid w:val="00D263ED"/>
    <w:rsid w:val="00D67BF7"/>
    <w:rsid w:val="00D774D5"/>
    <w:rsid w:val="00D847FA"/>
    <w:rsid w:val="00DA1FA9"/>
    <w:rsid w:val="00DB5718"/>
    <w:rsid w:val="00DB7109"/>
    <w:rsid w:val="00DC73B4"/>
    <w:rsid w:val="00DD35DF"/>
    <w:rsid w:val="00DF2D36"/>
    <w:rsid w:val="00E268DD"/>
    <w:rsid w:val="00E45E82"/>
    <w:rsid w:val="00E71D35"/>
    <w:rsid w:val="00EA47FE"/>
    <w:rsid w:val="00EB5AA7"/>
    <w:rsid w:val="00EE0051"/>
    <w:rsid w:val="00EE0522"/>
    <w:rsid w:val="00EE4A8A"/>
    <w:rsid w:val="00EF3ED6"/>
    <w:rsid w:val="00EF498C"/>
    <w:rsid w:val="00F076B3"/>
    <w:rsid w:val="00F30B03"/>
    <w:rsid w:val="00F4574F"/>
    <w:rsid w:val="00F4578B"/>
    <w:rsid w:val="00F60055"/>
    <w:rsid w:val="00FA335E"/>
    <w:rsid w:val="00FC57ED"/>
    <w:rsid w:val="00FC7350"/>
    <w:rsid w:val="00FD5827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1E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1E0"/>
    <w:pPr>
      <w:keepNext/>
      <w:spacing w:line="360" w:lineRule="auto"/>
      <w:jc w:val="center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A3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A31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A31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1E0"/>
    <w:rPr>
      <w:rFonts w:ascii="Cambria" w:eastAsiaTheme="majorEastAsia" w:hAnsi="Cambria" w:cstheme="majorBidi"/>
      <w:b/>
      <w:bCs/>
      <w:kern w:val="32"/>
      <w:sz w:val="32"/>
      <w:szCs w:val="32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6A31E0"/>
    <w:rPr>
      <w:b/>
      <w:bCs/>
      <w:sz w:val="20"/>
      <w:szCs w:val="20"/>
    </w:rPr>
  </w:style>
  <w:style w:type="paragraph" w:styleId="NoSpacing">
    <w:name w:val="No Spacing"/>
    <w:uiPriority w:val="1"/>
    <w:qFormat/>
    <w:rsid w:val="006A31E0"/>
    <w:rPr>
      <w:rFonts w:eastAsia="MS Mincho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6A31E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1E0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</w:rPr>
  </w:style>
  <w:style w:type="character" w:customStyle="1" w:styleId="Heading2Char">
    <w:name w:val="Heading 2 Char"/>
    <w:link w:val="Heading2"/>
    <w:uiPriority w:val="9"/>
    <w:rsid w:val="006A31E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A31E0"/>
    <w:rPr>
      <w:rFonts w:ascii="Arial" w:eastAsia="MS Mincho" w:hAnsi="Arial" w:cs="Arial"/>
      <w:b/>
      <w:bCs/>
      <w:sz w:val="26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6A31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A31E0"/>
    <w:rPr>
      <w:b/>
      <w:bCs/>
      <w:i/>
      <w:iCs/>
      <w:sz w:val="26"/>
      <w:szCs w:val="26"/>
    </w:rPr>
  </w:style>
  <w:style w:type="character" w:styleId="Strong">
    <w:name w:val="Strong"/>
    <w:qFormat/>
    <w:rsid w:val="006A31E0"/>
    <w:rPr>
      <w:b/>
      <w:bCs/>
    </w:rPr>
  </w:style>
  <w:style w:type="character" w:styleId="Emphasis">
    <w:name w:val="Emphasis"/>
    <w:uiPriority w:val="20"/>
    <w:qFormat/>
    <w:rsid w:val="006A31E0"/>
    <w:rPr>
      <w:i/>
      <w:iCs/>
    </w:rPr>
  </w:style>
  <w:style w:type="table" w:styleId="TableGrid">
    <w:name w:val="Table Grid"/>
    <w:basedOn w:val="TableNormal"/>
    <w:uiPriority w:val="59"/>
    <w:rsid w:val="0052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F82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526F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B0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B03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1E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1E0"/>
    <w:pPr>
      <w:keepNext/>
      <w:spacing w:line="360" w:lineRule="auto"/>
      <w:jc w:val="center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A3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A31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A31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1E0"/>
    <w:rPr>
      <w:rFonts w:ascii="Cambria" w:eastAsiaTheme="majorEastAsia" w:hAnsi="Cambria" w:cstheme="majorBidi"/>
      <w:b/>
      <w:bCs/>
      <w:kern w:val="32"/>
      <w:sz w:val="32"/>
      <w:szCs w:val="32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6A31E0"/>
    <w:rPr>
      <w:b/>
      <w:bCs/>
      <w:sz w:val="20"/>
      <w:szCs w:val="20"/>
    </w:rPr>
  </w:style>
  <w:style w:type="paragraph" w:styleId="NoSpacing">
    <w:name w:val="No Spacing"/>
    <w:uiPriority w:val="1"/>
    <w:qFormat/>
    <w:rsid w:val="006A31E0"/>
    <w:rPr>
      <w:rFonts w:eastAsia="MS Mincho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6A31E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1E0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</w:rPr>
  </w:style>
  <w:style w:type="character" w:customStyle="1" w:styleId="Heading2Char">
    <w:name w:val="Heading 2 Char"/>
    <w:link w:val="Heading2"/>
    <w:uiPriority w:val="9"/>
    <w:rsid w:val="006A31E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A31E0"/>
    <w:rPr>
      <w:rFonts w:ascii="Arial" w:eastAsia="MS Mincho" w:hAnsi="Arial" w:cs="Arial"/>
      <w:b/>
      <w:bCs/>
      <w:sz w:val="26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6A31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A31E0"/>
    <w:rPr>
      <w:b/>
      <w:bCs/>
      <w:i/>
      <w:iCs/>
      <w:sz w:val="26"/>
      <w:szCs w:val="26"/>
    </w:rPr>
  </w:style>
  <w:style w:type="character" w:styleId="Strong">
    <w:name w:val="Strong"/>
    <w:qFormat/>
    <w:rsid w:val="006A31E0"/>
    <w:rPr>
      <w:b/>
      <w:bCs/>
    </w:rPr>
  </w:style>
  <w:style w:type="character" w:styleId="Emphasis">
    <w:name w:val="Emphasis"/>
    <w:uiPriority w:val="20"/>
    <w:qFormat/>
    <w:rsid w:val="006A31E0"/>
    <w:rPr>
      <w:i/>
      <w:iCs/>
    </w:rPr>
  </w:style>
  <w:style w:type="table" w:styleId="TableGrid">
    <w:name w:val="Table Grid"/>
    <w:basedOn w:val="TableNormal"/>
    <w:uiPriority w:val="59"/>
    <w:rsid w:val="0052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F82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526F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B0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B03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332-E1B6-4BF0-8C6B-66388C4C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Wezi Chunga-Sambo</cp:lastModifiedBy>
  <cp:revision>2</cp:revision>
  <cp:lastPrinted>2015-06-25T14:39:00Z</cp:lastPrinted>
  <dcterms:created xsi:type="dcterms:W3CDTF">2015-07-23T08:56:00Z</dcterms:created>
  <dcterms:modified xsi:type="dcterms:W3CDTF">2015-07-23T08:56:00Z</dcterms:modified>
</cp:coreProperties>
</file>